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876CB" w14:textId="43E89F98" w:rsidR="008E000B" w:rsidRDefault="009D71E8" w:rsidP="00803C76">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r w:rsidR="007A1DDF">
        <w:t xml:space="preserve">                            </w:t>
      </w:r>
      <w:r w:rsidR="00226317">
        <w:t xml:space="preserve"> </w:t>
      </w:r>
      <w:r w:rsidR="00E53F3F">
        <w:t>Bidwell Brook</w:t>
      </w:r>
      <w:r w:rsidR="007A1DDF">
        <w:t xml:space="preserve"> School</w:t>
      </w:r>
    </w:p>
    <w:p w14:paraId="2A7D54B2" w14:textId="3EE41438" w:rsidR="00E66558" w:rsidRDefault="009D71E8" w:rsidP="00C62989">
      <w:pPr>
        <w:rPr>
          <w:b/>
        </w:rPr>
      </w:pPr>
      <w:r>
        <w:t xml:space="preserve">This statement details our school’s use of pupil premium (and recovery premium) funding to help improve the attainment of our disadvantaged pupils. </w:t>
      </w:r>
    </w:p>
    <w:p w14:paraId="2A7D54B3" w14:textId="730F2E71" w:rsidR="00E66558" w:rsidRDefault="009D71E8" w:rsidP="00C62989">
      <w:pPr>
        <w:rPr>
          <w:b/>
        </w:rPr>
      </w:pPr>
      <w:r>
        <w:t xml:space="preserve">It outlines our pupil premium strategy, how we intend to spend the funding in this academic year and the </w:t>
      </w:r>
      <w:r w:rsidR="00830D57">
        <w:t xml:space="preserve">outcomes </w:t>
      </w:r>
      <w:r w:rsidR="00A44FBB">
        <w:t>for disadvantaged pupils</w:t>
      </w:r>
      <w:r>
        <w:t xml:space="preserve"> last </w:t>
      </w:r>
      <w:r w:rsidR="00A44FBB">
        <w:t xml:space="preserve">academic </w:t>
      </w:r>
      <w:r>
        <w:t>year</w:t>
      </w:r>
      <w:r w:rsidR="00A44FBB">
        <w:t>.</w:t>
      </w:r>
    </w:p>
    <w:p w14:paraId="2A7D54B4" w14:textId="2CAB096C"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2940F3" w14:paraId="2A7D54BA"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8" w14:textId="7E4C52DD" w:rsidR="002940F3" w:rsidRDefault="002940F3">
            <w:pPr>
              <w:pStyle w:val="TableRow"/>
            </w:pPr>
            <w:r>
              <w:t xml:space="preserve">Number of pupils in school </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9" w14:textId="1E1AED11" w:rsidR="002940F3" w:rsidRDefault="00E53F3F">
            <w:pPr>
              <w:pStyle w:val="TableRow"/>
            </w:pPr>
            <w:r>
              <w:t>158</w:t>
            </w:r>
          </w:p>
        </w:tc>
      </w:tr>
      <w:tr w:rsidR="002940F3" w14:paraId="2A7D54BD"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B" w14:textId="04774D67" w:rsidR="002940F3" w:rsidRDefault="002940F3">
            <w:pPr>
              <w:pStyle w:val="TableRow"/>
            </w:pPr>
            <w:r>
              <w:t>Proportion (%) of pupil premium eligible pupils</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C" w14:textId="1A69000A" w:rsidR="002940F3" w:rsidRDefault="00F93AD7">
            <w:pPr>
              <w:pStyle w:val="TableRow"/>
            </w:pPr>
            <w:r>
              <w:t>47%</w:t>
            </w:r>
          </w:p>
        </w:tc>
      </w:tr>
      <w:tr w:rsidR="002940F3" w14:paraId="2A7D54C0"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E" w14:textId="2862A41A" w:rsidR="002940F3" w:rsidRDefault="002940F3">
            <w:pPr>
              <w:pStyle w:val="TableRow"/>
            </w:pPr>
            <w:r>
              <w:t xml:space="preserve">Academic year/years that our current pupil premium strategy plan covers </w:t>
            </w:r>
            <w:r w:rsidRPr="1CBF4D92">
              <w:rPr>
                <w:b/>
              </w:rPr>
              <w:t>(3 year plans are recommended)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BF" w14:textId="3004531A" w:rsidR="002940F3" w:rsidRDefault="00803C76">
            <w:pPr>
              <w:pStyle w:val="TableRow"/>
            </w:pPr>
            <w:r>
              <w:t>2021-2024</w:t>
            </w:r>
          </w:p>
        </w:tc>
      </w:tr>
      <w:tr w:rsidR="002940F3" w14:paraId="2A7D54C3"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1" w14:textId="0F472705" w:rsidR="002940F3" w:rsidRDefault="002940F3">
            <w:pPr>
              <w:pStyle w:val="TableRow"/>
            </w:pPr>
            <w:r>
              <w:rPr>
                <w:szCs w:val="22"/>
              </w:rPr>
              <w:t>Date this statement was published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2" w14:textId="2B8AFEE9" w:rsidR="002940F3" w:rsidRDefault="00F724F5">
            <w:pPr>
              <w:pStyle w:val="TableRow"/>
            </w:pPr>
            <w:r>
              <w:t>December 2022</w:t>
            </w:r>
          </w:p>
        </w:tc>
      </w:tr>
      <w:tr w:rsidR="002940F3" w14:paraId="2A7D54C6"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4" w14:textId="0C766347" w:rsidR="002940F3" w:rsidRDefault="002940F3">
            <w:pPr>
              <w:pStyle w:val="TableRow"/>
            </w:pPr>
            <w:r>
              <w:rPr>
                <w:szCs w:val="22"/>
              </w:rPr>
              <w:t>Date on which it will be reviewed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5" w14:textId="195239BC" w:rsidR="002940F3" w:rsidRDefault="00803C76">
            <w:pPr>
              <w:pStyle w:val="TableRow"/>
            </w:pPr>
            <w:r>
              <w:t>July 2023</w:t>
            </w:r>
          </w:p>
        </w:tc>
      </w:tr>
      <w:tr w:rsidR="002940F3" w14:paraId="2A7D54C9"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7" w14:textId="7605248E" w:rsidR="002940F3" w:rsidRDefault="002940F3">
            <w:pPr>
              <w:pStyle w:val="TableRow"/>
            </w:pPr>
            <w:r>
              <w:t>Statement authorised by</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8" w14:textId="3B9A64D6" w:rsidR="002940F3" w:rsidRDefault="00803C76">
            <w:pPr>
              <w:pStyle w:val="TableRow"/>
            </w:pPr>
            <w:r>
              <w:t>Nikki Burroughs</w:t>
            </w:r>
          </w:p>
        </w:tc>
      </w:tr>
      <w:tr w:rsidR="002940F3" w14:paraId="2A7D54CC"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A" w14:textId="5DC091D2" w:rsidR="002940F3" w:rsidRDefault="002940F3">
            <w:pPr>
              <w:pStyle w:val="TableRow"/>
            </w:pPr>
            <w:r>
              <w:t>Pupil premium 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B" w14:textId="1651C337" w:rsidR="002940F3" w:rsidRDefault="00803C76">
            <w:pPr>
              <w:pStyle w:val="TableRow"/>
            </w:pPr>
            <w:r>
              <w:t>Kate Preece</w:t>
            </w:r>
          </w:p>
        </w:tc>
      </w:tr>
      <w:tr w:rsidR="002940F3" w14:paraId="2A7D54CF" w14:textId="77777777" w:rsidTr="002940F3">
        <w:tc>
          <w:tcPr>
            <w:tcW w:w="651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D" w14:textId="08FA5419" w:rsidR="002940F3" w:rsidRDefault="002940F3">
            <w:pPr>
              <w:pStyle w:val="TableRow"/>
            </w:pPr>
            <w:r>
              <w:t xml:space="preserve">Governor </w:t>
            </w:r>
            <w:r>
              <w:rPr>
                <w:szCs w:val="22"/>
              </w:rPr>
              <w:t xml:space="preserve">/ Trustee </w:t>
            </w:r>
            <w:r>
              <w:t>lead</w:t>
            </w:r>
          </w:p>
        </w:tc>
        <w:tc>
          <w:tcPr>
            <w:tcW w:w="296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CE" w14:textId="77777777" w:rsidR="002940F3" w:rsidRDefault="002940F3">
            <w:pPr>
              <w:pStyle w:val="TableRow"/>
            </w:pPr>
          </w:p>
        </w:tc>
      </w:tr>
    </w:tbl>
    <w:bookmarkEnd w:id="2"/>
    <w:bookmarkEnd w:id="3"/>
    <w:bookmarkEnd w:id="4"/>
    <w:p w14:paraId="2A7D54D3" w14:textId="77777777" w:rsidR="00E66558" w:rsidRPr="005464A1" w:rsidRDefault="009D71E8" w:rsidP="005464A1">
      <w:pPr>
        <w:pStyle w:val="Heading2"/>
      </w:pPr>
      <w: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8" w14:textId="41101B73" w:rsidR="00E66558" w:rsidRDefault="009D71E8">
            <w:pPr>
              <w:pStyle w:val="TableRow"/>
            </w:pPr>
            <w:r>
              <w:t>£</w:t>
            </w:r>
            <w:r w:rsidR="00F93AD7">
              <w:t>79450</w:t>
            </w:r>
          </w:p>
        </w:tc>
      </w:tr>
      <w:tr w:rsidR="00E66558" w14:paraId="2A7D54DC"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B" w14:textId="1EC8902B" w:rsidR="00E66558" w:rsidRDefault="009D71E8">
            <w:pPr>
              <w:pStyle w:val="TableRow"/>
            </w:pPr>
            <w:r>
              <w:t>£</w:t>
            </w:r>
            <w:r w:rsidR="00953A69">
              <w:t>55394</w:t>
            </w:r>
          </w:p>
        </w:tc>
      </w:tr>
      <w:tr w:rsidR="00E66558" w14:paraId="2A7D54DF" w14:textId="77777777" w:rsidTr="625D1A15">
        <w:trPr>
          <w:trHeight w:val="374"/>
        </w:trPr>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vAlign w:val="center"/>
          </w:tcPr>
          <w:p w14:paraId="3B2B4CFA" w14:textId="77777777" w:rsidR="00E66558" w:rsidRDefault="009D71E8" w:rsidP="009C0914">
            <w:pPr>
              <w:pStyle w:val="TableRow"/>
              <w:spacing w:after="120"/>
            </w:pPr>
            <w:r>
              <w:t xml:space="preserve">Pupil premium </w:t>
            </w:r>
            <w:r w:rsidR="006E0786">
              <w:t>(and recovery premium</w:t>
            </w:r>
            <w:r w:rsidR="001E206F">
              <w:t xml:space="preserve">*) </w:t>
            </w:r>
            <w:r>
              <w:t xml:space="preserve">funding carried forward from previous years </w:t>
            </w:r>
            <w:r w:rsidRPr="008E000B">
              <w:rPr>
                <w:i/>
                <w:iCs/>
              </w:rPr>
              <w:t>(enter £0 if not applicable)</w:t>
            </w:r>
          </w:p>
          <w:p w14:paraId="2A7D54DD" w14:textId="70EB550D" w:rsidR="001E206F" w:rsidRPr="00586FBC" w:rsidRDefault="001E206F">
            <w:pPr>
              <w:pStyle w:val="TableRow"/>
              <w:rPr>
                <w:i/>
                <w:iCs/>
              </w:rPr>
            </w:pPr>
            <w:r w:rsidRPr="00586FBC">
              <w:rPr>
                <w:i/>
                <w:iCs/>
              </w:rPr>
              <w:t>*</w:t>
            </w:r>
            <w:r w:rsidR="009C0914" w:rsidRPr="00586FBC">
              <w:rPr>
                <w:i/>
                <w:iCs/>
              </w:rPr>
              <w:t>Recovery</w:t>
            </w:r>
            <w:r w:rsidRPr="00586FBC">
              <w:rPr>
                <w:i/>
                <w:iCs/>
              </w:rPr>
              <w:t xml:space="preserve"> premium </w:t>
            </w:r>
            <w:r w:rsidR="002940F3">
              <w:rPr>
                <w:i/>
                <w:iCs/>
              </w:rPr>
              <w:t>received in</w:t>
            </w:r>
            <w:r w:rsidR="00D877D0">
              <w:rPr>
                <w:i/>
                <w:iCs/>
              </w:rPr>
              <w:t xml:space="preserve"> </w:t>
            </w:r>
            <w:r w:rsidR="000D6596">
              <w:rPr>
                <w:i/>
                <w:iCs/>
              </w:rPr>
              <w:t xml:space="preserve">academic year </w:t>
            </w:r>
            <w:r w:rsidR="0092287F">
              <w:rPr>
                <w:i/>
                <w:iCs/>
              </w:rPr>
              <w:t>2021 to 2022 can be carried forward to</w:t>
            </w:r>
            <w:r w:rsidR="00ED5108">
              <w:rPr>
                <w:i/>
                <w:iCs/>
              </w:rPr>
              <w:t xml:space="preserve"> academic year</w:t>
            </w:r>
            <w:r w:rsidR="005E73F1">
              <w:rPr>
                <w:i/>
                <w:iCs/>
              </w:rPr>
              <w:t xml:space="preserve"> 2022 to 2023</w:t>
            </w:r>
            <w:r w:rsidR="00ED5108">
              <w:rPr>
                <w:i/>
                <w:iCs/>
              </w:rPr>
              <w:t>. Recovery premium received in academic year</w:t>
            </w:r>
            <w:r w:rsidR="005E73F1">
              <w:rPr>
                <w:i/>
                <w:iCs/>
              </w:rPr>
              <w:t xml:space="preserve"> 2022 to 2023</w:t>
            </w:r>
            <w:r w:rsidR="00ED5108">
              <w:rPr>
                <w:i/>
                <w:iCs/>
              </w:rPr>
              <w:t xml:space="preserve"> cannot be carried forward to 2023 to 2024.</w:t>
            </w:r>
            <w:r w:rsidR="0092287F">
              <w:rPr>
                <w:i/>
                <w:iCs/>
              </w:rPr>
              <w:t xml:space="preserve"> </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DE" w14:textId="3B57CB42" w:rsidR="00E66558" w:rsidRDefault="009D71E8">
            <w:pPr>
              <w:pStyle w:val="TableRow"/>
            </w:pPr>
            <w:r>
              <w:t>£</w:t>
            </w:r>
            <w:r w:rsidR="00953A69">
              <w:t>8140</w:t>
            </w:r>
          </w:p>
        </w:tc>
      </w:tr>
      <w:tr w:rsidR="00E66558" w14:paraId="2A7D54E3" w14:textId="77777777" w:rsidTr="625D1A15">
        <w:tc>
          <w:tcPr>
            <w:tcW w:w="651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0" w14:textId="77777777" w:rsidR="00E66558" w:rsidRDefault="009D71E8" w:rsidP="009C0914">
            <w:pPr>
              <w:pStyle w:val="TableRow"/>
              <w:spacing w:after="120"/>
              <w:rPr>
                <w:b/>
              </w:rPr>
            </w:pPr>
            <w:r>
              <w:rPr>
                <w:b/>
              </w:rPr>
              <w:t>Total budget for this academic year</w:t>
            </w:r>
          </w:p>
          <w:p w14:paraId="2A7D54E1" w14:textId="77777777" w:rsidR="00E66558" w:rsidRPr="003C4388" w:rsidRDefault="009D71E8">
            <w:pPr>
              <w:pStyle w:val="TableRow"/>
              <w:rPr>
                <w:i/>
                <w:iCs/>
              </w:rPr>
            </w:pPr>
            <w:r w:rsidRPr="003C4388">
              <w:rPr>
                <w:i/>
                <w:iCs/>
              </w:rPr>
              <w:t>If your school is an academy in a trust that pools this funding, state the amount available to your school this academic year</w:t>
            </w:r>
          </w:p>
        </w:tc>
        <w:tc>
          <w:tcPr>
            <w:tcW w:w="297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2A7D54E2" w14:textId="215A72C1" w:rsidR="00E66558" w:rsidRDefault="009D71E8">
            <w:pPr>
              <w:pStyle w:val="TableRow"/>
            </w:pPr>
            <w:r>
              <w:t>£</w:t>
            </w:r>
            <w:r w:rsidR="00803C76">
              <w:t>1</w:t>
            </w:r>
            <w:r w:rsidR="00953A69">
              <w:t>42984</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4EB46D" w14:textId="33189A63" w:rsidR="00A63EB4" w:rsidRDefault="001A61A7" w:rsidP="001A61A7">
            <w:r>
              <w:rPr>
                <w:iCs/>
              </w:rPr>
              <w:t>Our aim is to use pupil premium funding to help us achieve and sustain positive outcomes for our disadvantaged pupils.</w:t>
            </w:r>
            <w:r w:rsidR="00A63EB4">
              <w:rPr>
                <w:iCs/>
              </w:rPr>
              <w:t xml:space="preserve"> </w:t>
            </w:r>
            <w:r w:rsidR="00A63EB4">
              <w:t xml:space="preserve">Socio-economic disadvantage is not always the primary challenge our pupils face. Our learners already have significant disadvantages to overcome by virtue of their special educational needs. All of our learners have complex profiles and have an Education Health and Care Plan (EHCP) which outlines the statutory provision they are entitled to. Our proportion of disadvantaged pupils is well above the national average. </w:t>
            </w:r>
            <w:r w:rsidR="00A63EB4" w:rsidRPr="00A63EB4">
              <w:t>We ensure that learning is personalised to meet the individual needs of our pupils when designing our curriculum, federation development plan and pupil premium strategy. All of these plans work together to ensure high quality teaching to improve outcomes for all pupils.</w:t>
            </w:r>
          </w:p>
          <w:p w14:paraId="0913902E" w14:textId="41BFDF50" w:rsidR="00A63EB4" w:rsidRDefault="00A63EB4" w:rsidP="001A61A7">
            <w:r>
              <w:t xml:space="preserve">Many of our pupils are </w:t>
            </w:r>
            <w:r w:rsidR="00001B30">
              <w:t>disapplied</w:t>
            </w:r>
            <w:r w:rsidRPr="00A63EB4">
              <w:t xml:space="preserve"> from statutory assessments as they are not working at the age-related expectations (ARE)</w:t>
            </w:r>
            <w:r>
              <w:t>, however we have high expectations and ambitions for all our pupils. We use both internal and external assessment frameworks to track progress</w:t>
            </w:r>
            <w:r w:rsidR="00ED7728">
              <w:t xml:space="preserve"> and monitor attainment, including </w:t>
            </w:r>
            <w:r w:rsidR="00ED7728" w:rsidRPr="00ED7728">
              <w:t>EYFS Development Matters, KS1 Phonics Screen, phonics tracker and BKSB</w:t>
            </w:r>
            <w:r w:rsidR="00ED7728">
              <w:t>.</w:t>
            </w:r>
            <w:r>
              <w:t xml:space="preserve"> </w:t>
            </w:r>
            <w:r w:rsidR="00ED7728">
              <w:t xml:space="preserve">Each pupil also has personalised </w:t>
            </w:r>
            <w:r>
              <w:t>Home School Agreement targets</w:t>
            </w:r>
            <w:r w:rsidR="00ED7728">
              <w:t>,</w:t>
            </w:r>
            <w:r>
              <w:t xml:space="preserve"> linked to the four main areas of the</w:t>
            </w:r>
            <w:r w:rsidR="00ED7728">
              <w:t>ir</w:t>
            </w:r>
            <w:r>
              <w:t xml:space="preserve"> EHCP: Communication &amp; Interaction, Cognition &amp; Learning (numeracy or literacy), Sensory &amp; Physical and Social, Emotional and Mental Health. At Key Stages 4 and 5 targets are linked to the Preparing for adulthood target areas: Independent Living, Communication, Education &amp; Employment (English &amp; Maths) Community Inclusion and Health &amp; Wellbeing.</w:t>
            </w:r>
            <w:r w:rsidR="00ED7728">
              <w:t xml:space="preserve"> We use Evidence for Learning to capture and measure progress and attainment against these targets. </w:t>
            </w:r>
          </w:p>
          <w:p w14:paraId="5D6A4076" w14:textId="77777777" w:rsidR="00A63EB4" w:rsidRDefault="00A63EB4" w:rsidP="001A61A7">
            <w:r>
              <w:t xml:space="preserve">This makes benchmarking data assessment complicated as our learners are not all being measured against the same targets. Many will have more than one significant learning need and analysing what the barriers are over and above this, and relating specifically to economic disadvantage is complicated. </w:t>
            </w:r>
          </w:p>
          <w:p w14:paraId="02287493" w14:textId="3D5E482C" w:rsidR="00A63EB4" w:rsidRDefault="00A63EB4" w:rsidP="001A61A7">
            <w:r>
              <w:t xml:space="preserve">Our assessment data is analysed termly to look for any variances in outcomes for disadvantaged pupils across the school when compared to their peers (and those who join us at similar starting point). </w:t>
            </w:r>
            <w:r w:rsidR="009C0C48">
              <w:t xml:space="preserve">Our data shows that </w:t>
            </w:r>
            <w:r w:rsidR="00E717F0">
              <w:t xml:space="preserve">our pupil premium strategy is effective in reducing the attainment gap between pupil premium and non-pupil premium eligible pupils. </w:t>
            </w:r>
          </w:p>
          <w:p w14:paraId="1CFB4D6E" w14:textId="77777777" w:rsidR="00A63EB4" w:rsidRDefault="00A63EB4" w:rsidP="001A61A7">
            <w:r>
              <w:t xml:space="preserve">Although our strategy is focused on the needs of disadvantaged pupils, it will benefit all pupils in our school where funding is spent on whole-school approaches, such as high-quality teaching. Implicit in the intended outcomes detailed below, is the intention that outcomes for non-disadvantaged pupils will be improved alongside progress for their disadvantaged peers. We will also provide disadvantaged pupils with support to </w:t>
            </w:r>
            <w:r>
              <w:lastRenderedPageBreak/>
              <w:t xml:space="preserve">develop independent life and social skills and continue to ensure that high-quality work experience and transition support to new settings for leavers is available for all. </w:t>
            </w:r>
          </w:p>
          <w:p w14:paraId="3B791E01" w14:textId="77777777" w:rsidR="00A63EB4" w:rsidRDefault="00A63EB4" w:rsidP="001A61A7">
            <w:r>
              <w:t xml:space="preserve">Our strategy is integral to wider school plans for education recovery, notably through engagement with the National Tutoring Programme for pupils that have been worst affected, including non-disadvantaged pupils. </w:t>
            </w:r>
          </w:p>
          <w:p w14:paraId="63EA81BF" w14:textId="1914928C" w:rsidR="00A63EB4" w:rsidRDefault="00A63EB4" w:rsidP="001A61A7">
            <w:r>
              <w:t>Our strategy will be tailored to the needs and strengths of each young person, based on formal and informal assessments, not assumptions or labels. This will help us to ensure that we offer them the relevant skills and experience they require to be prepared for adulthood</w:t>
            </w:r>
            <w:r w:rsidR="00ED7728">
              <w:t xml:space="preserve">. </w:t>
            </w:r>
          </w:p>
          <w:p w14:paraId="3DC6CB7D" w14:textId="074CA40C" w:rsidR="00ED7728" w:rsidRDefault="00ED7728" w:rsidP="001A61A7">
            <w:pPr>
              <w:rPr>
                <w:iCs/>
              </w:rPr>
            </w:pPr>
            <w:r w:rsidRPr="00ED7728">
              <w:rPr>
                <w:iCs/>
              </w:rPr>
              <w:t xml:space="preserve">This academic year, our assessments have allowed us to identify some core challenges some pupils and staff are facing. We know from lesson observations, assessment, target setting and planning as well as staff confidence surveys that we need to improve the quality of education for pupils on the engagement pathway. These students were disproportionately affected by the pandemic as it was harder to replicate this pathway remotely. We also know from our internal qualitative data and our knowledge of our context, that many of our pupils have limited access to enrichment activities. </w:t>
            </w:r>
          </w:p>
          <w:p w14:paraId="61203BB8" w14:textId="5F1AB32D" w:rsidR="00ED7728" w:rsidRDefault="00ED7728" w:rsidP="001A61A7">
            <w:pPr>
              <w:rPr>
                <w:iCs/>
              </w:rPr>
            </w:pPr>
            <w:r w:rsidRPr="00ED7728">
              <w:rPr>
                <w:iCs/>
              </w:rPr>
              <w:t xml:space="preserve">We also have a significant need for social and emotional support for our pupils, as evidenced by our behaviour monitoring tool and adverse childhood experience screening tool. Self-regulation (drawing upon the EEF guidance report) is a key area of our strategic plans. </w:t>
            </w:r>
          </w:p>
          <w:p w14:paraId="0FC38BD2" w14:textId="77777777" w:rsidR="00ED7728" w:rsidRDefault="00ED7728" w:rsidP="001A61A7">
            <w:pPr>
              <w:rPr>
                <w:iCs/>
              </w:rPr>
            </w:pPr>
            <w:r w:rsidRPr="00ED7728">
              <w:rPr>
                <w:iCs/>
              </w:rPr>
              <w:t xml:space="preserve">We know from our phonics tracker quantitative data that our phonics interventions have improved pupil achievement in phonics and reading, this is also supported by the EEF Teaching and Learning Toolkit. This academic year, we will be continuing this intervention to maintain this progress and achievement. </w:t>
            </w:r>
          </w:p>
          <w:p w14:paraId="4546D508" w14:textId="21B1E69A" w:rsidR="00ED7728" w:rsidRDefault="00ED7728" w:rsidP="001A61A7">
            <w:pPr>
              <w:rPr>
                <w:iCs/>
              </w:rPr>
            </w:pPr>
            <w:r>
              <w:rPr>
                <w:iCs/>
              </w:rPr>
              <w:t xml:space="preserve">We have also had a number of new </w:t>
            </w:r>
            <w:proofErr w:type="gramStart"/>
            <w:r>
              <w:rPr>
                <w:iCs/>
              </w:rPr>
              <w:t>staff</w:t>
            </w:r>
            <w:proofErr w:type="gramEnd"/>
            <w:r>
              <w:rPr>
                <w:iCs/>
              </w:rPr>
              <w:t xml:space="preserve"> join the school as such we are investing in CPD opportunities for teachers and teaching assistants to ensure all pupils have access to high quality teaching and learning, based on evidence, research and pedagogy.</w:t>
            </w:r>
          </w:p>
          <w:p w14:paraId="40E8751E" w14:textId="17961BBE" w:rsidR="00E407A3" w:rsidRDefault="00E407A3" w:rsidP="001A61A7">
            <w:pPr>
              <w:rPr>
                <w:iCs/>
              </w:rPr>
            </w:pPr>
            <w:r>
              <w:rPr>
                <w:iCs/>
              </w:rPr>
              <w:t>This has informed our current strategy</w:t>
            </w:r>
            <w:r w:rsidR="00282FAD">
              <w:rPr>
                <w:iCs/>
              </w:rPr>
              <w:t xml:space="preserve"> with the key principles being:</w:t>
            </w:r>
            <w:r>
              <w:rPr>
                <w:iCs/>
              </w:rPr>
              <w:t xml:space="preserve"> </w:t>
            </w:r>
          </w:p>
          <w:p w14:paraId="4396EFE6" w14:textId="550F0BB0" w:rsidR="00E407A3" w:rsidRPr="00282FAD" w:rsidRDefault="00282FAD" w:rsidP="00282FAD">
            <w:pPr>
              <w:pStyle w:val="ListParagraph"/>
              <w:numPr>
                <w:ilvl w:val="0"/>
                <w:numId w:val="14"/>
              </w:numPr>
              <w:rPr>
                <w:iCs/>
              </w:rPr>
            </w:pPr>
            <w:r>
              <w:rPr>
                <w:iCs/>
              </w:rPr>
              <w:t xml:space="preserve">All pupils will access </w:t>
            </w:r>
            <w:r w:rsidR="00E407A3">
              <w:rPr>
                <w:iCs/>
              </w:rPr>
              <w:t>high-quality teaching</w:t>
            </w:r>
            <w:r>
              <w:rPr>
                <w:iCs/>
              </w:rPr>
              <w:t>, facilitated by high quality resources, equitability of access and a bespoke package of t</w:t>
            </w:r>
            <w:r w:rsidR="00E407A3" w:rsidRPr="00282FAD">
              <w:rPr>
                <w:iCs/>
              </w:rPr>
              <w:t>raining and CPD</w:t>
            </w:r>
            <w:r>
              <w:rPr>
                <w:iCs/>
              </w:rPr>
              <w:t xml:space="preserve"> for staff</w:t>
            </w:r>
          </w:p>
          <w:p w14:paraId="11586200" w14:textId="13D6165B" w:rsidR="00E407A3" w:rsidRDefault="00E407A3" w:rsidP="00E407A3">
            <w:pPr>
              <w:pStyle w:val="ListParagraph"/>
              <w:numPr>
                <w:ilvl w:val="0"/>
                <w:numId w:val="14"/>
              </w:numPr>
              <w:rPr>
                <w:iCs/>
              </w:rPr>
            </w:pPr>
            <w:r>
              <w:rPr>
                <w:iCs/>
              </w:rPr>
              <w:t xml:space="preserve">Sustaining </w:t>
            </w:r>
            <w:r w:rsidR="00282FAD">
              <w:rPr>
                <w:iCs/>
              </w:rPr>
              <w:t xml:space="preserve">our </w:t>
            </w:r>
            <w:r>
              <w:rPr>
                <w:iCs/>
              </w:rPr>
              <w:t>phonics attainment</w:t>
            </w:r>
          </w:p>
          <w:p w14:paraId="1724628C" w14:textId="2BD2EE7A" w:rsidR="00282FAD" w:rsidRDefault="00282FAD" w:rsidP="00E407A3">
            <w:pPr>
              <w:pStyle w:val="ListParagraph"/>
              <w:numPr>
                <w:ilvl w:val="0"/>
                <w:numId w:val="14"/>
              </w:numPr>
              <w:rPr>
                <w:iCs/>
              </w:rPr>
            </w:pPr>
            <w:r>
              <w:rPr>
                <w:iCs/>
              </w:rPr>
              <w:t xml:space="preserve">Continuing to have no attainment gap between PP and </w:t>
            </w:r>
            <w:r w:rsidR="00953A69">
              <w:rPr>
                <w:iCs/>
              </w:rPr>
              <w:t>non-PP</w:t>
            </w:r>
            <w:r>
              <w:rPr>
                <w:iCs/>
              </w:rPr>
              <w:t xml:space="preserve"> pupils</w:t>
            </w:r>
          </w:p>
          <w:p w14:paraId="62219667" w14:textId="40F0EE70" w:rsidR="001C68C0" w:rsidRDefault="00282FAD" w:rsidP="00282FAD">
            <w:pPr>
              <w:pStyle w:val="ListParagraph"/>
              <w:numPr>
                <w:ilvl w:val="0"/>
                <w:numId w:val="14"/>
              </w:numPr>
              <w:rPr>
                <w:iCs/>
              </w:rPr>
            </w:pPr>
            <w:r w:rsidRPr="00282FAD">
              <w:rPr>
                <w:iCs/>
              </w:rPr>
              <w:t xml:space="preserve">Disadvantaged pupils able to access outdoor learning opportunities and extra-curricular activities </w:t>
            </w:r>
          </w:p>
          <w:p w14:paraId="611DD43A" w14:textId="42D21378" w:rsidR="00F7764B" w:rsidRDefault="00282FAD" w:rsidP="00F7764B">
            <w:pPr>
              <w:pStyle w:val="ListParagraph"/>
              <w:numPr>
                <w:ilvl w:val="0"/>
                <w:numId w:val="14"/>
              </w:numPr>
              <w:rPr>
                <w:iCs/>
              </w:rPr>
            </w:pPr>
            <w:r>
              <w:rPr>
                <w:iCs/>
              </w:rPr>
              <w:lastRenderedPageBreak/>
              <w:t>SEMH, communication, medical and sensory needs will be met to enable all pupils to access learning</w:t>
            </w:r>
          </w:p>
          <w:p w14:paraId="2A7D54E9" w14:textId="0E6205FE" w:rsidR="00E66558" w:rsidRPr="00F724F5" w:rsidRDefault="006C0193" w:rsidP="006C0193">
            <w:pPr>
              <w:rPr>
                <w:iCs/>
              </w:rPr>
            </w:pPr>
            <w:r>
              <w:rPr>
                <w:iCs/>
              </w:rPr>
              <w:t>Our ultimate objective for our disadvantaged pupils is that there will not be an attainment gap between them and non-</w:t>
            </w:r>
            <w:r w:rsidR="00444B6E">
              <w:rPr>
                <w:iCs/>
              </w:rPr>
              <w:t>disadvantaged</w:t>
            </w:r>
            <w:r>
              <w:rPr>
                <w:iCs/>
              </w:rPr>
              <w:t xml:space="preserve"> pupils; academically, emotionally, socially, mentally or physically. </w:t>
            </w:r>
          </w:p>
        </w:tc>
      </w:tr>
    </w:tbl>
    <w:p w14:paraId="2A7D54EB" w14:textId="77777777" w:rsidR="00E66558" w:rsidRDefault="009D71E8">
      <w:pPr>
        <w:pStyle w:val="Heading2"/>
        <w:spacing w:before="600"/>
      </w:pPr>
      <w:r>
        <w:lastRenderedPageBreak/>
        <w:t>Challenges</w:t>
      </w:r>
    </w:p>
    <w:p w14:paraId="2A7D54EC" w14:textId="77777777" w:rsidR="00E66558" w:rsidRDefault="009D71E8" w:rsidP="00AA355B">
      <w:r>
        <w:rPr>
          <w:bCs/>
        </w:rPr>
        <w:t>This details</w:t>
      </w:r>
      <w:r>
        <w:t xml:space="preserve"> the key</w:t>
      </w:r>
      <w:r>
        <w:rPr>
          <w:bCs/>
        </w:rPr>
        <w:t xml:space="preserve"> </w:t>
      </w:r>
      <w:r>
        <w:t xml:space="preserve">challenges to </w:t>
      </w:r>
      <w:r>
        <w:rPr>
          <w:bCs/>
        </w:rPr>
        <w:t>achievement that we have</w:t>
      </w:r>
      <w:r>
        <w:t xml:space="preserve"> identified among </w:t>
      </w:r>
      <w:r>
        <w:rPr>
          <w:bCs/>
        </w:rPr>
        <w:t>our</w:t>
      </w:r>
      <w: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03CCA036" w:rsidR="00E66558" w:rsidRDefault="00444B6E">
            <w:pPr>
              <w:pStyle w:val="TableRowCentered"/>
              <w:jc w:val="left"/>
            </w:pPr>
            <w:r>
              <w:t>To identify barriers to learning over and above that faced by our pupils with their Special needs diagnosis and to ensure that there is no attainment gap between the disadvantaged pupils and non- disadvantaged pupil.</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2D9E4740" w:rsidR="00E66558" w:rsidRDefault="00444B6E">
            <w:pPr>
              <w:pStyle w:val="TableRowCentered"/>
              <w:jc w:val="left"/>
              <w:rPr>
                <w:sz w:val="22"/>
                <w:szCs w:val="22"/>
              </w:rPr>
            </w:pPr>
            <w:r>
              <w:t>To address the language gap between disadvantaged pupils and non-disadvantaged pupils. Disadvantaged pupils will have poorer language, communication and interaction skills due to less exposure to a language rich environment compared to non-disadvantaged pupils in our school.</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4685A47A" w:rsidR="00E66558" w:rsidRDefault="00444B6E">
            <w:pPr>
              <w:pStyle w:val="TableRowCentered"/>
              <w:jc w:val="left"/>
              <w:rPr>
                <w:sz w:val="22"/>
                <w:szCs w:val="22"/>
              </w:rPr>
            </w:pPr>
            <w:r>
              <w:t>Our assessments and observations show us that disadvantaged pupils have more difficulty engaging in learning due to poorer self-regulation skills and lack of emotional resiliency and face sensory integration issues which can impact negatively on their communication and interaction, decision making and choices.</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08F3F2D7" w:rsidR="00E66558" w:rsidRDefault="00444B6E">
            <w:pPr>
              <w:pStyle w:val="TableRowCentered"/>
              <w:jc w:val="left"/>
              <w:rPr>
                <w:iCs/>
                <w:sz w:val="22"/>
              </w:rPr>
            </w:pPr>
            <w:r>
              <w:t>Through observations and conversations with pupils and their families, we find that disadvantaged pupils generally have fewer opportunities to develop cultural capital outside of school.</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071C7B97" w:rsidR="00E66558" w:rsidRDefault="00444B6E">
            <w:pPr>
              <w:pStyle w:val="TableRowCentered"/>
              <w:jc w:val="left"/>
              <w:rPr>
                <w:iCs/>
                <w:sz w:val="22"/>
              </w:rPr>
            </w:pPr>
            <w:r>
              <w:t>Our assessments, observations and discussions with pupils show that disadvantaged pupils generally have greater challenges around communicating and expressing their needs than their peers, including non-verbal, limited language and social interaction difficulties.</w:t>
            </w:r>
          </w:p>
        </w:tc>
      </w:tr>
      <w:tr w:rsidR="00444B6E" w14:paraId="4BAB7AA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45A31" w14:textId="0C8D6875" w:rsidR="00444B6E" w:rsidRDefault="00444B6E">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44ACF2" w14:textId="3BA5D58F" w:rsidR="00444B6E" w:rsidRDefault="00444B6E">
            <w:pPr>
              <w:pStyle w:val="TableRowCentered"/>
              <w:jc w:val="left"/>
            </w:pPr>
            <w:r>
              <w:t>Our assessments, observations and discussions with pupils and families demonstrate that the education, wellbeing and wider aspects of development of many of our disadvantaged pupils have been impacted by the pandemic to a greater extent than for other pupils. These findings are backed up by several national studies.</w:t>
            </w:r>
          </w:p>
        </w:tc>
      </w:tr>
    </w:tbl>
    <w:p w14:paraId="2A7D54FF" w14:textId="77777777" w:rsidR="00E66558" w:rsidRDefault="009D71E8">
      <w:pPr>
        <w:pStyle w:val="Heading2"/>
        <w:spacing w:before="600"/>
      </w:pPr>
      <w:r>
        <w:t xml:space="preserve">Intended outcomes </w:t>
      </w:r>
    </w:p>
    <w:p w14:paraId="2A7D5500" w14:textId="77777777" w:rsidR="00E66558" w:rsidRDefault="009D71E8">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03"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lastRenderedPageBreak/>
              <w:t>Intended outcome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433311" w14:paraId="2A7D5506"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56729EE7" w:rsidR="00433311" w:rsidRDefault="00433311" w:rsidP="00433311">
            <w:pPr>
              <w:pStyle w:val="TableRow"/>
            </w:pPr>
            <w:r w:rsidRPr="009A3AC9">
              <w:t xml:space="preserve">Disadvantaged pupils do as well or better than their peers in their Home School Agreement Targets and in their phonics’ assessments, relative to their starting points as identified through baseline assessments. Through termly monitoring and assessment of home school agreement targets, to identify any attainment gaps and put interventions in place to address them.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5" w14:textId="0646E807" w:rsidR="00433311" w:rsidRDefault="00433311" w:rsidP="00433311">
            <w:pPr>
              <w:pStyle w:val="TableRowCentered"/>
              <w:jc w:val="left"/>
              <w:rPr>
                <w:sz w:val="22"/>
                <w:szCs w:val="22"/>
              </w:rPr>
            </w:pPr>
            <w:r w:rsidRPr="009A3AC9">
              <w:t xml:space="preserve">Disadvantaged pupils do as well or better than their peers in their Home School Agreement Targets and in their phonics’ assessments, relative to their starting points as identified through baseline assessments. Through termly monitoring and assessment of home school agreement targets, to identify any attainment gaps and put interventions in place to address them. </w:t>
            </w:r>
          </w:p>
        </w:tc>
      </w:tr>
      <w:tr w:rsidR="00433311" w14:paraId="2A7D5509"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1F2FA12" w:rsidR="00433311" w:rsidRDefault="00433311" w:rsidP="00433311">
            <w:pPr>
              <w:pStyle w:val="TableRow"/>
              <w:rPr>
                <w:sz w:val="22"/>
                <w:szCs w:val="22"/>
              </w:rPr>
            </w:pPr>
            <w:r w:rsidRPr="00660E76">
              <w:t xml:space="preserve">To improve pupils as learners and increase their engagement and participation in learning. Reduction in time spent out of class by dysregulated pupils. Feedback from Teachers and Teaching Team. Positive reporting through observations and discussions with pupils and their families and feedback from annual person-centred review. Successfully meeting their targets as shown through the monitoring and assessment of Home School Agreement targets. </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8" w14:textId="2462019E" w:rsidR="00433311" w:rsidRDefault="00433311" w:rsidP="00433311">
            <w:pPr>
              <w:pStyle w:val="TableRowCentered"/>
              <w:jc w:val="left"/>
              <w:rPr>
                <w:sz w:val="22"/>
                <w:szCs w:val="22"/>
              </w:rPr>
            </w:pPr>
            <w:r w:rsidRPr="00660E76">
              <w:t xml:space="preserve">To improve pupils as learners and increase their engagement and participation in learning. Reduction in time spent out of class by dysregulated pupils. Feedback from Teachers and Teaching Team. Positive reporting through observations and discussions with pupils and their families and feedback from annual person-centred review. Successfully meeting their targets as shown through the monitoring and assessment of Home School Agreement targets. </w:t>
            </w:r>
          </w:p>
        </w:tc>
      </w:tr>
      <w:tr w:rsidR="00433311" w14:paraId="2A7D550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EE2A016" w:rsidR="00433311" w:rsidRDefault="00433311" w:rsidP="00433311">
            <w:pPr>
              <w:pStyle w:val="TableRow"/>
              <w:rPr>
                <w:sz w:val="22"/>
                <w:szCs w:val="22"/>
              </w:rPr>
            </w:pPr>
            <w:r w:rsidRPr="00616EBB">
              <w:t>Pupils can access tools and strategies to achieve self –regulation and emotional resiliency to aid sensory integration which will in turn lead to good choices and better decision making. This will in turn enable greater access to and wider participation in their local community and better preparation for adulthood and independent living. Successfully meeting their home school agreement targets as shown through the monitoring and assessment of Home School Agreement targets. Reduction in behaviour incidents as recorded through reporting on the CPOMS incident recording system. Through observations and discussions with pupils and their families and feedback from annual person-centred review.</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43C62300" w:rsidR="00433311" w:rsidRDefault="00433311" w:rsidP="00433311">
            <w:pPr>
              <w:pStyle w:val="TableRowCentered"/>
              <w:jc w:val="left"/>
              <w:rPr>
                <w:sz w:val="22"/>
                <w:szCs w:val="22"/>
              </w:rPr>
            </w:pPr>
            <w:r w:rsidRPr="00616EBB">
              <w:t>Pupils can access tools and strategies to achieve self –regulation and emotional resiliency to aid sensory integration which will in turn lead to good choices and better decision making. This will in turn enable greater access to and wider participation in their local community and better preparation for adulthood and independent living. Successfully meeting their home school agreement targets as shown through the monitoring and assessment of Home School Agreement targets. Reduction in behaviour incidents as recorded through reporting on the CPOMS incident recording system. Through observations and discussions with pupils and their families and feedback from annual person-centred review.</w:t>
            </w:r>
          </w:p>
        </w:tc>
      </w:tr>
      <w:tr w:rsidR="00600848" w14:paraId="2A7D550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3AA2C206" w:rsidR="00600848" w:rsidRDefault="00600848" w:rsidP="00600848">
            <w:pPr>
              <w:pStyle w:val="TableRow"/>
              <w:rPr>
                <w:sz w:val="22"/>
                <w:szCs w:val="22"/>
              </w:rPr>
            </w:pPr>
            <w:r w:rsidRPr="00575A6B">
              <w:t>Pupils will make at least as good progress as their peers in reading and phonics Monitoring and assessment of termly data.</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E" w14:textId="10FA4197" w:rsidR="00600848" w:rsidRDefault="00600848" w:rsidP="00600848">
            <w:pPr>
              <w:pStyle w:val="TableRowCentered"/>
              <w:jc w:val="left"/>
              <w:rPr>
                <w:sz w:val="22"/>
                <w:szCs w:val="22"/>
              </w:rPr>
            </w:pPr>
            <w:r w:rsidRPr="00575A6B">
              <w:t>Pupils will make at least as good progress as their peers in reading and phonics Monitoring and assessment of termly data.</w:t>
            </w:r>
          </w:p>
        </w:tc>
      </w:tr>
    </w:tbl>
    <w:p w14:paraId="2A06959E" w14:textId="2218981A" w:rsidR="00120AB1" w:rsidRDefault="00120AB1" w:rsidP="00BD4B12"/>
    <w:p w14:paraId="2A7D5512" w14:textId="7B489199" w:rsidR="00E66558" w:rsidRDefault="009D71E8">
      <w:pPr>
        <w:pStyle w:val="Heading2"/>
      </w:pPr>
      <w:r>
        <w:lastRenderedPageBreak/>
        <w:t>Activity in this academic year</w:t>
      </w:r>
    </w:p>
    <w:p w14:paraId="2A7D5513" w14:textId="603E7BD1" w:rsidR="00E66558" w:rsidRDefault="009D71E8">
      <w:pPr>
        <w:spacing w:after="480"/>
      </w:pPr>
      <w:r>
        <w:t>This details how we intend to spend our pupil premium (and recovery premium</w:t>
      </w:r>
      <w:r w:rsidR="00A112B5">
        <w:t>)</w:t>
      </w:r>
      <w:r>
        <w:t xml:space="preserve">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60C1E2C1" w:rsidR="00E66558" w:rsidRDefault="009D71E8">
      <w:r>
        <w:t>Budgeted cost: £</w:t>
      </w:r>
      <w:r w:rsidR="003D5655">
        <w:t>23484</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19"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t>Challenge number(s) addressed</w:t>
            </w:r>
          </w:p>
        </w:tc>
      </w:tr>
      <w:tr w:rsidR="00E66558" w14:paraId="2A7D551D"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A" w14:textId="48430AE6" w:rsidR="00E66558" w:rsidRPr="00953A69" w:rsidRDefault="00271CFC">
            <w:pPr>
              <w:pStyle w:val="TableRow"/>
              <w:rPr>
                <w:sz w:val="22"/>
                <w:szCs w:val="22"/>
              </w:rPr>
            </w:pPr>
            <w:r w:rsidRPr="00953A69">
              <w:rPr>
                <w:sz w:val="22"/>
                <w:szCs w:val="22"/>
              </w:rPr>
              <w:t>Pupil premium Lead Teacher to oversee monitoring and assessment data, lead on pupil premium interventions and ensure equitability of access.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B" w14:textId="0764D766" w:rsidR="00E66558" w:rsidRPr="00953A69" w:rsidRDefault="00271CFC">
            <w:pPr>
              <w:pStyle w:val="TableRowCentered"/>
              <w:jc w:val="left"/>
              <w:rPr>
                <w:sz w:val="22"/>
                <w:szCs w:val="22"/>
              </w:rPr>
            </w:pPr>
            <w:r w:rsidRPr="00953A69">
              <w:rPr>
                <w:sz w:val="22"/>
                <w:szCs w:val="22"/>
              </w:rPr>
              <w:t>By maintaining high profile of Pupil Premium leaners and barriers they face this will ensure Teachers know who their pupil premium pupils are and drive through interventions and ensure equality of access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18A2A5A2" w:rsidR="00E66558" w:rsidRDefault="00602008">
            <w:pPr>
              <w:pStyle w:val="TableRowCentered"/>
              <w:jc w:val="left"/>
              <w:rPr>
                <w:sz w:val="22"/>
              </w:rPr>
            </w:pPr>
            <w:r>
              <w:rPr>
                <w:sz w:val="22"/>
              </w:rPr>
              <w:t>1-6</w:t>
            </w:r>
          </w:p>
        </w:tc>
      </w:tr>
      <w:tr w:rsidR="00E66558" w14:paraId="2A7D5521"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E" w14:textId="13374358" w:rsidR="00E66558" w:rsidRPr="00600A93" w:rsidRDefault="00600A93">
            <w:pPr>
              <w:pStyle w:val="TableRow"/>
              <w:rPr>
                <w:sz w:val="22"/>
              </w:rPr>
            </w:pPr>
            <w:r>
              <w:rPr>
                <w:sz w:val="22"/>
              </w:rPr>
              <w:t xml:space="preserve">Assistant Head Teacher to develop and deliver a package of CPD and training to staff to improve quality of teaching </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F" w14:textId="367278D3" w:rsidR="00E66558" w:rsidRPr="00600A93" w:rsidRDefault="00600A93">
            <w:pPr>
              <w:pStyle w:val="TableRowCentered"/>
              <w:jc w:val="left"/>
              <w:rPr>
                <w:sz w:val="22"/>
                <w:szCs w:val="22"/>
              </w:rPr>
            </w:pPr>
            <w:r w:rsidRPr="00600A93">
              <w:rPr>
                <w:rFonts w:cs="Arial"/>
                <w:sz w:val="22"/>
                <w:szCs w:val="22"/>
              </w:rPr>
              <w:t>EEF Effective Professional Development Guidance Report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3A63B383" w:rsidR="00E66558" w:rsidRDefault="007944DE">
            <w:pPr>
              <w:pStyle w:val="TableRowCentered"/>
              <w:jc w:val="left"/>
              <w:rPr>
                <w:sz w:val="22"/>
              </w:rPr>
            </w:pPr>
            <w:r>
              <w:rPr>
                <w:sz w:val="22"/>
              </w:rPr>
              <w:t>1-6</w:t>
            </w:r>
          </w:p>
        </w:tc>
      </w:tr>
      <w:tr w:rsidR="00600A93" w14:paraId="78D284D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B73F23" w14:textId="76D26622" w:rsidR="00600A93" w:rsidRPr="00600A93" w:rsidRDefault="00600A93">
            <w:pPr>
              <w:pStyle w:val="TableRow"/>
              <w:rPr>
                <w:sz w:val="22"/>
              </w:rPr>
            </w:pPr>
            <w:r>
              <w:rPr>
                <w:sz w:val="22"/>
              </w:rPr>
              <w:t xml:space="preserve">Investment in learning </w:t>
            </w:r>
            <w:r w:rsidRPr="00600A93">
              <w:rPr>
                <w:sz w:val="22"/>
              </w:rPr>
              <w:t>to support high quality T&amp;L, enabling all pupils to access learning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FDEA19" w14:textId="7BBC0801" w:rsidR="00600A93" w:rsidRPr="00600A93" w:rsidRDefault="00600A93" w:rsidP="00600A93">
            <w:pPr>
              <w:pStyle w:val="TableRowCentered"/>
              <w:jc w:val="left"/>
              <w:rPr>
                <w:rFonts w:cs="Arial"/>
                <w:sz w:val="22"/>
                <w:szCs w:val="22"/>
              </w:rPr>
            </w:pPr>
            <w:r w:rsidRPr="00600A93">
              <w:rPr>
                <w:rFonts w:cs="Arial"/>
                <w:sz w:val="22"/>
                <w:szCs w:val="22"/>
              </w:rPr>
              <w:t>EEF Teaching and Learning Toolkit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0A8664" w14:textId="0ADED4F8" w:rsidR="00600A93" w:rsidRDefault="007944DE">
            <w:pPr>
              <w:pStyle w:val="TableRowCentered"/>
              <w:jc w:val="left"/>
              <w:rPr>
                <w:sz w:val="22"/>
              </w:rPr>
            </w:pPr>
            <w:r>
              <w:rPr>
                <w:sz w:val="22"/>
              </w:rPr>
              <w:t>1,2,3,5,6</w:t>
            </w:r>
          </w:p>
        </w:tc>
      </w:tr>
    </w:tbl>
    <w:p w14:paraId="2A7D5522" w14:textId="77777777" w:rsidR="00E66558" w:rsidRDefault="00E66558" w:rsidP="00ED5108"/>
    <w:p w14:paraId="2A7D5523" w14:textId="5B2BE35F" w:rsidR="00E66558" w:rsidRPr="00AA355B" w:rsidRDefault="009D71E8" w:rsidP="00AA355B">
      <w:pPr>
        <w:pStyle w:val="Heading3"/>
      </w:pPr>
      <w:r>
        <w:t xml:space="preserve">Targeted academic support (for example, </w:t>
      </w:r>
      <w:r w:rsidR="00D33FE5">
        <w:t>tutoring, one-to-one support</w:t>
      </w:r>
      <w:r w:rsidR="00F776E1">
        <w:t>,</w:t>
      </w:r>
      <w:r w:rsidR="00D33FE5">
        <w:t xml:space="preserve"> </w:t>
      </w:r>
      <w:r>
        <w:t xml:space="preserve">structured interventions) </w:t>
      </w:r>
    </w:p>
    <w:p w14:paraId="2A7D5524" w14:textId="4E541C6C" w:rsidR="00E66558" w:rsidRDefault="009D71E8">
      <w:r>
        <w:t>Budgeted cost: £</w:t>
      </w:r>
      <w:r w:rsidR="003D5655">
        <w:t>69000</w:t>
      </w:r>
    </w:p>
    <w:tbl>
      <w:tblPr>
        <w:tblW w:w="5000" w:type="pct"/>
        <w:tblCellMar>
          <w:left w:w="10" w:type="dxa"/>
          <w:right w:w="10" w:type="dxa"/>
        </w:tblCellMar>
        <w:tblLook w:val="04A0" w:firstRow="1" w:lastRow="0" w:firstColumn="1" w:lastColumn="0" w:noHBand="0" w:noVBand="1"/>
      </w:tblPr>
      <w:tblGrid>
        <w:gridCol w:w="2547"/>
        <w:gridCol w:w="5394"/>
        <w:gridCol w:w="1545"/>
      </w:tblGrid>
      <w:tr w:rsidR="00E66558" w14:paraId="2A7D5528" w14:textId="77777777" w:rsidTr="008D2C07">
        <w:tc>
          <w:tcPr>
            <w:tcW w:w="254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539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154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E66558" w14:paraId="2A7D552C" w14:textId="77777777" w:rsidTr="008D2C0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C67A46" w14:textId="77777777" w:rsidR="00600A93" w:rsidRPr="00600A93" w:rsidRDefault="00600A93" w:rsidP="00600A93">
            <w:pPr>
              <w:pStyle w:val="TableRow"/>
              <w:rPr>
                <w:sz w:val="22"/>
                <w:szCs w:val="22"/>
              </w:rPr>
            </w:pPr>
            <w:r w:rsidRPr="00600A93">
              <w:rPr>
                <w:sz w:val="22"/>
                <w:szCs w:val="22"/>
              </w:rPr>
              <w:t xml:space="preserve">Engaging with the </w:t>
            </w:r>
          </w:p>
          <w:p w14:paraId="659366A1" w14:textId="3B827DED" w:rsidR="00600A93" w:rsidRPr="00600A93" w:rsidRDefault="00600A93" w:rsidP="00600A93">
            <w:pPr>
              <w:pStyle w:val="TableRow"/>
              <w:rPr>
                <w:sz w:val="22"/>
                <w:szCs w:val="22"/>
              </w:rPr>
            </w:pPr>
            <w:r w:rsidRPr="00600A93">
              <w:rPr>
                <w:sz w:val="22"/>
                <w:szCs w:val="22"/>
              </w:rPr>
              <w:t>National</w:t>
            </w:r>
            <w:r>
              <w:rPr>
                <w:sz w:val="22"/>
                <w:szCs w:val="22"/>
              </w:rPr>
              <w:t xml:space="preserve"> </w:t>
            </w:r>
            <w:r w:rsidRPr="00600A93">
              <w:rPr>
                <w:sz w:val="22"/>
                <w:szCs w:val="22"/>
              </w:rPr>
              <w:t xml:space="preserve">Tutoring Programme to provide a blend of tuition, </w:t>
            </w:r>
          </w:p>
          <w:p w14:paraId="2A7D5529" w14:textId="47155473" w:rsidR="00E66558" w:rsidRPr="00600A93" w:rsidRDefault="00600A93" w:rsidP="00600A93">
            <w:pPr>
              <w:pStyle w:val="TableRow"/>
              <w:rPr>
                <w:sz w:val="22"/>
                <w:szCs w:val="22"/>
              </w:rPr>
            </w:pPr>
            <w:r w:rsidRPr="00600A93">
              <w:rPr>
                <w:sz w:val="22"/>
                <w:szCs w:val="22"/>
              </w:rPr>
              <w:t xml:space="preserve">mentoring and school-led tutoring for pupils whose education has been most impacted by the pandemic. A </w:t>
            </w:r>
            <w:r w:rsidRPr="00600A93">
              <w:rPr>
                <w:sz w:val="22"/>
                <w:szCs w:val="22"/>
              </w:rPr>
              <w:lastRenderedPageBreak/>
              <w:t>significant proportion of the pupils</w:t>
            </w:r>
            <w:r>
              <w:rPr>
                <w:sz w:val="22"/>
                <w:szCs w:val="22"/>
              </w:rPr>
              <w:t xml:space="preserve"> who receive tutoring will be disadvantaged</w:t>
            </w:r>
          </w:p>
        </w:tc>
        <w:tc>
          <w:tcPr>
            <w:tcW w:w="5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C9B107" w14:textId="3E006FF9" w:rsidR="00600A93" w:rsidRPr="00600A93" w:rsidRDefault="00600A93" w:rsidP="008D30EB">
            <w:pPr>
              <w:pStyle w:val="TableRowCentered"/>
              <w:jc w:val="left"/>
              <w:rPr>
                <w:sz w:val="22"/>
              </w:rPr>
            </w:pPr>
            <w:r w:rsidRPr="00600A93">
              <w:rPr>
                <w:sz w:val="22"/>
              </w:rPr>
              <w:lastRenderedPageBreak/>
              <w:t>Tuition targeted at specific needs and knowledge gaps can be an effective</w:t>
            </w:r>
            <w:r>
              <w:rPr>
                <w:sz w:val="22"/>
              </w:rPr>
              <w:t xml:space="preserve"> </w:t>
            </w:r>
            <w:r w:rsidRPr="00600A93">
              <w:rPr>
                <w:sz w:val="22"/>
              </w:rPr>
              <w:t>method to support low attaining</w:t>
            </w:r>
            <w:r w:rsidR="008D30EB">
              <w:rPr>
                <w:sz w:val="22"/>
              </w:rPr>
              <w:t xml:space="preserve"> </w:t>
            </w:r>
            <w:r w:rsidRPr="00600A93">
              <w:rPr>
                <w:sz w:val="22"/>
              </w:rPr>
              <w:t>pupils or those falling behind, both one-to-one:</w:t>
            </w:r>
          </w:p>
          <w:p w14:paraId="61994CC8" w14:textId="0CE98234" w:rsidR="00600A93" w:rsidRPr="00600A93" w:rsidRDefault="00600A93" w:rsidP="00600A93">
            <w:pPr>
              <w:pStyle w:val="TableRowCentered"/>
              <w:rPr>
                <w:sz w:val="22"/>
              </w:rPr>
            </w:pPr>
            <w:r w:rsidRPr="00600A93">
              <w:rPr>
                <w:sz w:val="22"/>
              </w:rPr>
              <w:t>One to one tuition | EEF (educationendowmentfoundation.org.uk)</w:t>
            </w:r>
          </w:p>
          <w:p w14:paraId="51237C95" w14:textId="77777777" w:rsidR="00600A93" w:rsidRPr="00600A93" w:rsidRDefault="00600A93" w:rsidP="00600A93">
            <w:pPr>
              <w:pStyle w:val="TableRowCentered"/>
              <w:rPr>
                <w:sz w:val="22"/>
              </w:rPr>
            </w:pPr>
            <w:r w:rsidRPr="00600A93">
              <w:rPr>
                <w:sz w:val="22"/>
              </w:rPr>
              <w:t>And in small groups:</w:t>
            </w:r>
          </w:p>
          <w:p w14:paraId="2A7D552A" w14:textId="667B0011" w:rsidR="00E66558" w:rsidRDefault="00600A93" w:rsidP="00600A93">
            <w:pPr>
              <w:pStyle w:val="TableRowCentered"/>
              <w:rPr>
                <w:sz w:val="22"/>
              </w:rPr>
            </w:pPr>
            <w:r w:rsidRPr="00600A93">
              <w:rPr>
                <w:sz w:val="22"/>
              </w:rPr>
              <w:t>Small group tuition | Toolkit Strand | Education Endowment Foundation | EEF</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219CE0AC" w:rsidR="00E66558" w:rsidRDefault="007944DE">
            <w:pPr>
              <w:pStyle w:val="TableRowCentered"/>
              <w:jc w:val="left"/>
              <w:rPr>
                <w:sz w:val="22"/>
              </w:rPr>
            </w:pPr>
            <w:r>
              <w:rPr>
                <w:sz w:val="22"/>
              </w:rPr>
              <w:t>6</w:t>
            </w:r>
          </w:p>
        </w:tc>
      </w:tr>
      <w:tr w:rsidR="00E66558" w14:paraId="2A7D5530" w14:textId="77777777" w:rsidTr="008D2C0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D" w14:textId="692993A2" w:rsidR="00E66558" w:rsidRPr="00B55645" w:rsidRDefault="00B55645">
            <w:pPr>
              <w:pStyle w:val="TableRow"/>
              <w:rPr>
                <w:i/>
                <w:sz w:val="22"/>
                <w:szCs w:val="22"/>
              </w:rPr>
            </w:pPr>
            <w:r w:rsidRPr="00B55645">
              <w:rPr>
                <w:sz w:val="22"/>
                <w:szCs w:val="22"/>
              </w:rPr>
              <w:t>Full Time Literacy HLTA to lead small group or one to one phonics and reading interventions.</w:t>
            </w:r>
          </w:p>
        </w:tc>
        <w:tc>
          <w:tcPr>
            <w:tcW w:w="5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450B55" w14:textId="1A8B100B" w:rsidR="004B780D" w:rsidRDefault="004B780D" w:rsidP="00B55645">
            <w:pPr>
              <w:pStyle w:val="TableRowCentered"/>
              <w:ind w:left="0"/>
              <w:jc w:val="left"/>
              <w:rPr>
                <w:sz w:val="22"/>
              </w:rPr>
            </w:pPr>
            <w:r w:rsidRPr="004B780D">
              <w:rPr>
                <w:sz w:val="22"/>
              </w:rPr>
              <w:t>EEF Teaching and Learning Toolkit</w:t>
            </w:r>
          </w:p>
          <w:p w14:paraId="2A7D552E" w14:textId="4ED07A12" w:rsidR="004B780D" w:rsidRPr="004B780D" w:rsidRDefault="004B780D" w:rsidP="00B55645">
            <w:pPr>
              <w:pStyle w:val="TableRowCentered"/>
              <w:ind w:left="0"/>
              <w:jc w:val="left"/>
              <w:rPr>
                <w:sz w:val="22"/>
                <w:szCs w:val="22"/>
              </w:rPr>
            </w:pPr>
            <w:r w:rsidRPr="004B780D">
              <w:rPr>
                <w:rFonts w:cs="Arial"/>
                <w:sz w:val="22"/>
                <w:szCs w:val="22"/>
              </w:rPr>
              <w:t>EEF Improving Literacy in KS1 and KS2</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1A63F144" w:rsidR="00E66558" w:rsidRDefault="007944DE">
            <w:pPr>
              <w:pStyle w:val="TableRowCentered"/>
              <w:jc w:val="left"/>
              <w:rPr>
                <w:sz w:val="22"/>
              </w:rPr>
            </w:pPr>
            <w:r>
              <w:rPr>
                <w:sz w:val="22"/>
              </w:rPr>
              <w:t>2</w:t>
            </w:r>
          </w:p>
        </w:tc>
      </w:tr>
      <w:tr w:rsidR="004B780D" w14:paraId="5EB368BE" w14:textId="77777777" w:rsidTr="008D2C0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CD5CF" w14:textId="000B55AF" w:rsidR="004B780D" w:rsidRPr="00B55645" w:rsidRDefault="004B780D">
            <w:pPr>
              <w:pStyle w:val="TableRow"/>
              <w:rPr>
                <w:sz w:val="22"/>
                <w:szCs w:val="22"/>
              </w:rPr>
            </w:pPr>
            <w:r w:rsidRPr="004B780D">
              <w:rPr>
                <w:sz w:val="22"/>
                <w:szCs w:val="22"/>
              </w:rPr>
              <w:t>Rural skills team to maintain rural skills provision and run targeted interventions</w:t>
            </w:r>
          </w:p>
        </w:tc>
        <w:tc>
          <w:tcPr>
            <w:tcW w:w="5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834582" w14:textId="6A4AB461" w:rsidR="004B780D" w:rsidRPr="00B55645" w:rsidRDefault="004B780D" w:rsidP="00B55645">
            <w:pPr>
              <w:pStyle w:val="TableRowCentered"/>
              <w:ind w:left="0"/>
              <w:jc w:val="left"/>
              <w:rPr>
                <w:sz w:val="22"/>
              </w:rPr>
            </w:pPr>
            <w:r w:rsidRPr="004B780D">
              <w:rPr>
                <w:sz w:val="22"/>
              </w:rPr>
              <w:t>EEF Learning Toolkit states there is a wider evidence base to indicate that outdoor learning has positive impacts on self-efficacy, motivation and teamwork, and plays an important role in part of the wider school experience.</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0E67DD" w14:textId="072B7BD3" w:rsidR="004B780D" w:rsidRDefault="007944DE">
            <w:pPr>
              <w:pStyle w:val="TableRowCentered"/>
              <w:jc w:val="left"/>
              <w:rPr>
                <w:sz w:val="22"/>
              </w:rPr>
            </w:pPr>
            <w:r>
              <w:rPr>
                <w:sz w:val="22"/>
              </w:rPr>
              <w:t>4</w:t>
            </w:r>
          </w:p>
        </w:tc>
      </w:tr>
      <w:tr w:rsidR="00B65398" w14:paraId="7FCC3E25" w14:textId="77777777" w:rsidTr="008D2C07">
        <w:tc>
          <w:tcPr>
            <w:tcW w:w="25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C81B33" w14:textId="1C8F87EE" w:rsidR="008E7C47" w:rsidRPr="008E7C47" w:rsidRDefault="00B65398" w:rsidP="00150AE8">
            <w:pPr>
              <w:pStyle w:val="TableRow"/>
              <w:rPr>
                <w:sz w:val="22"/>
                <w:szCs w:val="22"/>
              </w:rPr>
            </w:pPr>
            <w:r>
              <w:rPr>
                <w:sz w:val="22"/>
                <w:szCs w:val="22"/>
              </w:rPr>
              <w:t>Purchase and implementation of s</w:t>
            </w:r>
            <w:r w:rsidRPr="00B65398">
              <w:rPr>
                <w:sz w:val="22"/>
                <w:szCs w:val="22"/>
              </w:rPr>
              <w:t>ensory resources and communication aids</w:t>
            </w:r>
            <w:r w:rsidR="008E7C47" w:rsidRPr="008E7C47">
              <w:rPr>
                <w:sz w:val="22"/>
                <w:szCs w:val="22"/>
              </w:rPr>
              <w:t xml:space="preserve"> for pupil</w:t>
            </w:r>
            <w:r w:rsidR="00150AE8">
              <w:rPr>
                <w:sz w:val="22"/>
                <w:szCs w:val="22"/>
              </w:rPr>
              <w:t>s</w:t>
            </w:r>
            <w:r w:rsidR="008E7C47" w:rsidRPr="008E7C47">
              <w:rPr>
                <w:sz w:val="22"/>
                <w:szCs w:val="22"/>
              </w:rPr>
              <w:t xml:space="preserve"> who require AAC </w:t>
            </w:r>
          </w:p>
          <w:p w14:paraId="69C87E38" w14:textId="4A44FECF" w:rsidR="008E7C47" w:rsidRPr="008E7C47" w:rsidRDefault="008E7C47" w:rsidP="008E7C47">
            <w:pPr>
              <w:pStyle w:val="TableRow"/>
              <w:rPr>
                <w:sz w:val="22"/>
                <w:szCs w:val="22"/>
              </w:rPr>
            </w:pPr>
            <w:r w:rsidRPr="008E7C47">
              <w:rPr>
                <w:sz w:val="22"/>
                <w:szCs w:val="22"/>
              </w:rPr>
              <w:t>(Augmen</w:t>
            </w:r>
            <w:r w:rsidR="00150AE8">
              <w:rPr>
                <w:sz w:val="22"/>
                <w:szCs w:val="22"/>
              </w:rPr>
              <w:t>ta</w:t>
            </w:r>
            <w:r w:rsidRPr="008E7C47">
              <w:rPr>
                <w:sz w:val="22"/>
                <w:szCs w:val="22"/>
              </w:rPr>
              <w:t xml:space="preserve">tive and </w:t>
            </w:r>
          </w:p>
          <w:p w14:paraId="4B9F0C93" w14:textId="77777777" w:rsidR="008E7C47" w:rsidRPr="008E7C47" w:rsidRDefault="008E7C47" w:rsidP="008E7C47">
            <w:pPr>
              <w:pStyle w:val="TableRow"/>
              <w:rPr>
                <w:sz w:val="22"/>
                <w:szCs w:val="22"/>
              </w:rPr>
            </w:pPr>
            <w:r w:rsidRPr="008E7C47">
              <w:rPr>
                <w:sz w:val="22"/>
                <w:szCs w:val="22"/>
              </w:rPr>
              <w:t xml:space="preserve">Alternative </w:t>
            </w:r>
          </w:p>
          <w:p w14:paraId="57E52548" w14:textId="53F034FF" w:rsidR="00B65398" w:rsidRPr="004B780D" w:rsidRDefault="008E7C47" w:rsidP="008E7C47">
            <w:pPr>
              <w:pStyle w:val="TableRow"/>
              <w:rPr>
                <w:sz w:val="22"/>
                <w:szCs w:val="22"/>
              </w:rPr>
            </w:pPr>
            <w:r w:rsidRPr="008E7C47">
              <w:rPr>
                <w:sz w:val="22"/>
                <w:szCs w:val="22"/>
              </w:rPr>
              <w:t>Communication) device</w:t>
            </w:r>
            <w:r w:rsidR="00150AE8">
              <w:rPr>
                <w:sz w:val="22"/>
                <w:szCs w:val="22"/>
              </w:rPr>
              <w:t>.</w:t>
            </w:r>
          </w:p>
        </w:tc>
        <w:tc>
          <w:tcPr>
            <w:tcW w:w="53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08CAC4" w14:textId="2FCD52E6" w:rsidR="00150AE8" w:rsidRPr="00150AE8" w:rsidRDefault="00150AE8" w:rsidP="00150AE8">
            <w:pPr>
              <w:pStyle w:val="TableRowCentered"/>
              <w:jc w:val="left"/>
              <w:rPr>
                <w:sz w:val="22"/>
              </w:rPr>
            </w:pPr>
            <w:r w:rsidRPr="00150AE8">
              <w:rPr>
                <w:sz w:val="22"/>
              </w:rPr>
              <w:t>AAC can help supplement or augment</w:t>
            </w:r>
            <w:r>
              <w:rPr>
                <w:sz w:val="22"/>
              </w:rPr>
              <w:t xml:space="preserve"> </w:t>
            </w:r>
            <w:r w:rsidRPr="00150AE8">
              <w:rPr>
                <w:sz w:val="22"/>
              </w:rPr>
              <w:t>communication for pupils to improve their</w:t>
            </w:r>
            <w:r>
              <w:rPr>
                <w:sz w:val="22"/>
              </w:rPr>
              <w:t xml:space="preserve"> </w:t>
            </w:r>
            <w:r w:rsidRPr="00150AE8">
              <w:rPr>
                <w:sz w:val="22"/>
              </w:rPr>
              <w:t xml:space="preserve">communication and interaction and engage in </w:t>
            </w:r>
          </w:p>
          <w:p w14:paraId="1DC61E70" w14:textId="6B576AB6" w:rsidR="00150AE8" w:rsidRDefault="00150AE8" w:rsidP="00150AE8">
            <w:pPr>
              <w:pStyle w:val="TableRowCentered"/>
              <w:ind w:left="0"/>
              <w:jc w:val="left"/>
              <w:rPr>
                <w:sz w:val="22"/>
              </w:rPr>
            </w:pPr>
            <w:r w:rsidRPr="00150AE8">
              <w:rPr>
                <w:sz w:val="22"/>
              </w:rPr>
              <w:t>learning.</w:t>
            </w:r>
          </w:p>
          <w:p w14:paraId="0170BA07" w14:textId="412E06C2" w:rsidR="00B65398" w:rsidRPr="00B65398" w:rsidRDefault="00B65398" w:rsidP="00B65398">
            <w:pPr>
              <w:pStyle w:val="TableRowCentered"/>
              <w:ind w:left="0"/>
              <w:jc w:val="left"/>
              <w:rPr>
                <w:sz w:val="22"/>
              </w:rPr>
            </w:pPr>
            <w:r w:rsidRPr="00B65398">
              <w:rPr>
                <w:sz w:val="22"/>
              </w:rPr>
              <w:t>SEND areas of need</w:t>
            </w:r>
          </w:p>
          <w:p w14:paraId="5C9D4E45" w14:textId="77777777" w:rsidR="00B65398" w:rsidRPr="00B65398" w:rsidRDefault="00B65398" w:rsidP="00B65398">
            <w:pPr>
              <w:pStyle w:val="TableRowCentered"/>
              <w:ind w:left="0"/>
              <w:jc w:val="left"/>
              <w:rPr>
                <w:sz w:val="22"/>
              </w:rPr>
            </w:pPr>
            <w:r w:rsidRPr="00B65398">
              <w:rPr>
                <w:sz w:val="22"/>
              </w:rPr>
              <w:t>Maslow’s Hierarchy of need</w:t>
            </w:r>
          </w:p>
          <w:p w14:paraId="0CD40E1B" w14:textId="19D0A1F5" w:rsidR="00B65398" w:rsidRPr="00B65398" w:rsidRDefault="00B65398" w:rsidP="00B65398">
            <w:pPr>
              <w:pStyle w:val="TableRowCentered"/>
              <w:ind w:left="0"/>
              <w:jc w:val="left"/>
              <w:rPr>
                <w:sz w:val="22"/>
              </w:rPr>
            </w:pPr>
            <w:r w:rsidRPr="00B65398">
              <w:rPr>
                <w:sz w:val="22"/>
              </w:rPr>
              <w:t>Barry Carpenter, Engaging Learners with Complex Learning Difficulties and Disabilities</w:t>
            </w:r>
          </w:p>
        </w:tc>
        <w:tc>
          <w:tcPr>
            <w:tcW w:w="15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2DD835" w14:textId="066139A6" w:rsidR="00B65398" w:rsidRDefault="007944DE">
            <w:pPr>
              <w:pStyle w:val="TableRowCentered"/>
              <w:jc w:val="left"/>
              <w:rPr>
                <w:sz w:val="22"/>
              </w:rPr>
            </w:pPr>
            <w:r>
              <w:rPr>
                <w:sz w:val="22"/>
              </w:rPr>
              <w:t>2,3,5</w:t>
            </w:r>
          </w:p>
        </w:tc>
      </w:tr>
    </w:tbl>
    <w:p w14:paraId="2A7D5531" w14:textId="77777777" w:rsidR="00E66558" w:rsidRDefault="00E66558" w:rsidP="00AA355B"/>
    <w:p w14:paraId="2A7D5532" w14:textId="50CA5D02" w:rsidR="00E66558" w:rsidRPr="00AA355B" w:rsidRDefault="009D71E8" w:rsidP="00AA355B">
      <w:pPr>
        <w:pStyle w:val="Heading3"/>
      </w:pPr>
      <w:r>
        <w:t>Wider strategies (for example related to attendance, behaviour, wellbeing)</w:t>
      </w:r>
    </w:p>
    <w:p w14:paraId="2A7D5533" w14:textId="65C64A20" w:rsidR="00E66558" w:rsidRDefault="009D71E8">
      <w:pPr>
        <w:spacing w:before="240" w:after="120"/>
      </w:pPr>
      <w:r>
        <w:t>Budgeted cost: £</w:t>
      </w:r>
      <w:r w:rsidR="004224CE">
        <w:t>50500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37"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8" w14:textId="5FF26FA9" w:rsidR="00E66558" w:rsidRPr="0063694D" w:rsidRDefault="00150AE8" w:rsidP="0063694D">
            <w:pPr>
              <w:pStyle w:val="TableRow"/>
              <w:rPr>
                <w:iCs/>
                <w:sz w:val="22"/>
                <w:szCs w:val="22"/>
              </w:rPr>
            </w:pPr>
            <w:r w:rsidRPr="00150AE8">
              <w:rPr>
                <w:iCs/>
                <w:sz w:val="22"/>
                <w:szCs w:val="22"/>
              </w:rPr>
              <w:t>To provide Behaviour</w:t>
            </w:r>
            <w:r w:rsidR="0063694D">
              <w:rPr>
                <w:iCs/>
                <w:sz w:val="22"/>
                <w:szCs w:val="22"/>
              </w:rPr>
              <w:t xml:space="preserve"> </w:t>
            </w:r>
            <w:r w:rsidRPr="00150AE8">
              <w:rPr>
                <w:iCs/>
                <w:sz w:val="22"/>
                <w:szCs w:val="22"/>
              </w:rPr>
              <w:t>support to enable Good</w:t>
            </w:r>
            <w:r w:rsidR="0063694D">
              <w:rPr>
                <w:iCs/>
                <w:sz w:val="22"/>
                <w:szCs w:val="22"/>
              </w:rPr>
              <w:t xml:space="preserve"> </w:t>
            </w:r>
            <w:r w:rsidRPr="00150AE8">
              <w:rPr>
                <w:iCs/>
                <w:sz w:val="22"/>
                <w:szCs w:val="22"/>
              </w:rPr>
              <w:t>Decision Making and</w:t>
            </w:r>
            <w:r w:rsidR="0063694D">
              <w:rPr>
                <w:iCs/>
                <w:sz w:val="22"/>
                <w:szCs w:val="22"/>
              </w:rPr>
              <w:t xml:space="preserve"> </w:t>
            </w:r>
            <w:r w:rsidRPr="00150AE8">
              <w:rPr>
                <w:iCs/>
                <w:sz w:val="22"/>
                <w:szCs w:val="22"/>
              </w:rPr>
              <w:t>positive choices</w:t>
            </w:r>
            <w:r>
              <w:rPr>
                <w:iCs/>
                <w:sz w:val="22"/>
                <w:szCs w:val="22"/>
              </w:rPr>
              <w:t xml:space="preserve">. </w:t>
            </w:r>
            <w:r w:rsidRPr="00150AE8">
              <w:rPr>
                <w:iCs/>
                <w:sz w:val="22"/>
                <w:szCs w:val="22"/>
              </w:rPr>
              <w:t>CDMT Lead Teacher time to triage behavio</w:t>
            </w:r>
            <w:r>
              <w:rPr>
                <w:iCs/>
                <w:sz w:val="22"/>
                <w:szCs w:val="22"/>
              </w:rPr>
              <w:t>u</w:t>
            </w:r>
            <w:r w:rsidRPr="00150AE8">
              <w:rPr>
                <w:iCs/>
                <w:sz w:val="22"/>
                <w:szCs w:val="22"/>
              </w:rPr>
              <w:t>r incidents, direct interventions/plans and support teams, CPD and coaching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A9BA70" w14:textId="77777777" w:rsidR="00150AE8" w:rsidRPr="00150AE8" w:rsidRDefault="00150AE8" w:rsidP="00150AE8">
            <w:pPr>
              <w:pStyle w:val="TableRowCentered"/>
              <w:jc w:val="left"/>
              <w:rPr>
                <w:sz w:val="22"/>
              </w:rPr>
            </w:pPr>
            <w:r w:rsidRPr="00150AE8">
              <w:rPr>
                <w:sz w:val="22"/>
              </w:rPr>
              <w:t>EEF Teaching and Learning Toolkit</w:t>
            </w:r>
          </w:p>
          <w:p w14:paraId="2A7D5539" w14:textId="6762108F" w:rsidR="00E66558" w:rsidRDefault="00150AE8" w:rsidP="00150AE8">
            <w:pPr>
              <w:pStyle w:val="TableRowCentered"/>
              <w:jc w:val="left"/>
              <w:rPr>
                <w:sz w:val="22"/>
              </w:rPr>
            </w:pPr>
            <w:r w:rsidRPr="00150AE8">
              <w:rPr>
                <w:sz w:val="22"/>
              </w:rPr>
              <w:t>EEF Improving Behaviour in Schools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3D51B2A0" w:rsidR="00E66558" w:rsidRDefault="003E3C09">
            <w:pPr>
              <w:pStyle w:val="TableRowCentered"/>
              <w:jc w:val="left"/>
              <w:rPr>
                <w:sz w:val="22"/>
              </w:rPr>
            </w:pPr>
            <w:r>
              <w:rPr>
                <w:sz w:val="22"/>
              </w:rPr>
              <w:t>3,5</w:t>
            </w:r>
          </w:p>
        </w:tc>
      </w:tr>
      <w:tr w:rsidR="00E66558" w14:paraId="2A7D553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CE0222" w14:textId="77777777" w:rsidR="00080184" w:rsidRPr="00080184" w:rsidRDefault="00080184" w:rsidP="00080184">
            <w:pPr>
              <w:pStyle w:val="TableRow"/>
              <w:rPr>
                <w:sz w:val="22"/>
              </w:rPr>
            </w:pPr>
            <w:r w:rsidRPr="00080184">
              <w:rPr>
                <w:sz w:val="22"/>
              </w:rPr>
              <w:t xml:space="preserve">To provide Pupil </w:t>
            </w:r>
          </w:p>
          <w:p w14:paraId="4728A9AB" w14:textId="1D517A1D" w:rsidR="00080184" w:rsidRPr="00080184" w:rsidRDefault="00080184" w:rsidP="00080184">
            <w:pPr>
              <w:pStyle w:val="TableRow"/>
              <w:rPr>
                <w:sz w:val="22"/>
              </w:rPr>
            </w:pPr>
            <w:r w:rsidRPr="00080184">
              <w:rPr>
                <w:sz w:val="22"/>
              </w:rPr>
              <w:t xml:space="preserve">Advocacy leads and class pupil advocacy </w:t>
            </w:r>
          </w:p>
          <w:p w14:paraId="2A7D553C" w14:textId="28353C27" w:rsidR="00E66558" w:rsidRPr="00080184" w:rsidRDefault="00080184" w:rsidP="00080184">
            <w:pPr>
              <w:pStyle w:val="TableRow"/>
              <w:rPr>
                <w:sz w:val="22"/>
              </w:rPr>
            </w:pPr>
            <w:r w:rsidRPr="00080184">
              <w:rPr>
                <w:sz w:val="22"/>
              </w:rPr>
              <w:t xml:space="preserve">champions. Advocacy Lead time to ensure pupils have a voice in decisions which affect </w:t>
            </w:r>
            <w:r w:rsidRPr="00080184">
              <w:rPr>
                <w:sz w:val="22"/>
              </w:rPr>
              <w:lastRenderedPageBreak/>
              <w:t>them via staff CPD and targeted interventions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59811E" w14:textId="1420EA1D" w:rsidR="00E66558" w:rsidRDefault="005B7222" w:rsidP="005B7222">
            <w:pPr>
              <w:pStyle w:val="TableRowCentered"/>
              <w:jc w:val="left"/>
              <w:rPr>
                <w:sz w:val="22"/>
              </w:rPr>
            </w:pPr>
            <w:r w:rsidRPr="005B7222">
              <w:rPr>
                <w:sz w:val="22"/>
              </w:rPr>
              <w:lastRenderedPageBreak/>
              <w:t>EEF Teaching and Learning Toolkit</w:t>
            </w:r>
            <w:r w:rsidR="00EE1646">
              <w:rPr>
                <w:sz w:val="22"/>
              </w:rPr>
              <w:t>, behaviour interventions.</w:t>
            </w:r>
          </w:p>
          <w:p w14:paraId="0165CCA1" w14:textId="66B8B5D6" w:rsidR="005B7222" w:rsidRPr="005B7222" w:rsidRDefault="005B7222" w:rsidP="009447A6">
            <w:pPr>
              <w:pStyle w:val="TableRowCentered"/>
              <w:jc w:val="left"/>
              <w:rPr>
                <w:sz w:val="22"/>
              </w:rPr>
            </w:pPr>
            <w:r w:rsidRPr="005B7222">
              <w:rPr>
                <w:sz w:val="22"/>
              </w:rPr>
              <w:t>Through our own experience, skills and knowledge and as part of our core offer</w:t>
            </w:r>
            <w:r>
              <w:rPr>
                <w:sz w:val="22"/>
              </w:rPr>
              <w:t xml:space="preserve"> </w:t>
            </w:r>
            <w:r w:rsidRPr="005B7222">
              <w:rPr>
                <w:sz w:val="22"/>
              </w:rPr>
              <w:t>we provide Behaviour Support as part</w:t>
            </w:r>
            <w:r>
              <w:rPr>
                <w:sz w:val="22"/>
              </w:rPr>
              <w:t xml:space="preserve"> </w:t>
            </w:r>
            <w:r w:rsidRPr="005B7222">
              <w:rPr>
                <w:sz w:val="22"/>
              </w:rPr>
              <w:t>of our Communication and Decision-making team.</w:t>
            </w:r>
          </w:p>
          <w:p w14:paraId="2A7D553D" w14:textId="730595C1" w:rsidR="005B7222" w:rsidRDefault="005B7222" w:rsidP="005B7222">
            <w:pPr>
              <w:pStyle w:val="TableRowCentered"/>
              <w:jc w:val="left"/>
              <w:rPr>
                <w:sz w:val="22"/>
              </w:rPr>
            </w:pPr>
            <w:r w:rsidRPr="005B7222">
              <w:rPr>
                <w:sz w:val="22"/>
              </w:rPr>
              <w:lastRenderedPageBreak/>
              <w:t>By using positive communication and making good choices pupils will engage in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1C068207" w:rsidR="00E66558" w:rsidRDefault="003E3C09">
            <w:pPr>
              <w:pStyle w:val="TableRowCentered"/>
              <w:jc w:val="left"/>
              <w:rPr>
                <w:sz w:val="22"/>
              </w:rPr>
            </w:pPr>
            <w:r>
              <w:rPr>
                <w:sz w:val="22"/>
              </w:rPr>
              <w:lastRenderedPageBreak/>
              <w:t>3,4</w:t>
            </w:r>
          </w:p>
        </w:tc>
      </w:tr>
      <w:tr w:rsidR="00EE1646" w14:paraId="06D3CF47"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9CF59D" w14:textId="77777777" w:rsidR="00EE1646" w:rsidRDefault="00EE1646" w:rsidP="00EE1646">
            <w:pPr>
              <w:pStyle w:val="TableRow"/>
              <w:rPr>
                <w:sz w:val="22"/>
              </w:rPr>
            </w:pPr>
            <w:r w:rsidRPr="00EE1646">
              <w:rPr>
                <w:sz w:val="22"/>
              </w:rPr>
              <w:t>Increase Cultural Capital</w:t>
            </w:r>
            <w:r>
              <w:rPr>
                <w:sz w:val="22"/>
              </w:rPr>
              <w:t xml:space="preserve"> </w:t>
            </w:r>
            <w:r w:rsidRPr="00EE1646">
              <w:rPr>
                <w:sz w:val="22"/>
              </w:rPr>
              <w:t>and engagement in wider experiences by</w:t>
            </w:r>
            <w:r>
              <w:rPr>
                <w:sz w:val="22"/>
              </w:rPr>
              <w:t xml:space="preserve"> </w:t>
            </w:r>
            <w:r w:rsidRPr="00EE1646">
              <w:rPr>
                <w:sz w:val="22"/>
              </w:rPr>
              <w:t>providing offsite trips and activities for pupils e.g. theatre trips, residential stays,</w:t>
            </w:r>
            <w:r>
              <w:rPr>
                <w:sz w:val="22"/>
              </w:rPr>
              <w:t xml:space="preserve"> </w:t>
            </w:r>
            <w:r w:rsidRPr="00EE1646">
              <w:rPr>
                <w:sz w:val="22"/>
              </w:rPr>
              <w:t>sports, Duke of</w:t>
            </w:r>
            <w:r>
              <w:rPr>
                <w:sz w:val="22"/>
              </w:rPr>
              <w:t xml:space="preserve"> </w:t>
            </w:r>
            <w:r w:rsidRPr="00EE1646">
              <w:rPr>
                <w:sz w:val="22"/>
              </w:rPr>
              <w:t>Edinburgh scheme etc</w:t>
            </w:r>
          </w:p>
          <w:p w14:paraId="42DDD221" w14:textId="77777777" w:rsidR="00EE1646" w:rsidRDefault="00EE1646" w:rsidP="00EE1646">
            <w:pPr>
              <w:pStyle w:val="TableRow"/>
              <w:rPr>
                <w:sz w:val="22"/>
              </w:rPr>
            </w:pPr>
            <w:r w:rsidRPr="00EE1646">
              <w:rPr>
                <w:sz w:val="22"/>
              </w:rPr>
              <w:t>Removing financial</w:t>
            </w:r>
            <w:r>
              <w:rPr>
                <w:sz w:val="22"/>
              </w:rPr>
              <w:t xml:space="preserve"> </w:t>
            </w:r>
            <w:r w:rsidRPr="00EE1646">
              <w:rPr>
                <w:sz w:val="22"/>
              </w:rPr>
              <w:t>barriers to ensure equal</w:t>
            </w:r>
            <w:r>
              <w:rPr>
                <w:sz w:val="22"/>
              </w:rPr>
              <w:t xml:space="preserve"> </w:t>
            </w:r>
            <w:r w:rsidRPr="00EE1646">
              <w:rPr>
                <w:sz w:val="22"/>
              </w:rPr>
              <w:t>access to all pupils.</w:t>
            </w:r>
            <w:r>
              <w:rPr>
                <w:sz w:val="22"/>
              </w:rPr>
              <w:t xml:space="preserve"> </w:t>
            </w:r>
            <w:r w:rsidRPr="00EE1646">
              <w:rPr>
                <w:sz w:val="22"/>
              </w:rPr>
              <w:t>Providing Teacher and admin support to plan,</w:t>
            </w:r>
            <w:r>
              <w:rPr>
                <w:sz w:val="22"/>
              </w:rPr>
              <w:t xml:space="preserve"> </w:t>
            </w:r>
            <w:r w:rsidRPr="00EE1646">
              <w:rPr>
                <w:sz w:val="22"/>
              </w:rPr>
              <w:t>evaluate, risk assess and book offsit</w:t>
            </w:r>
            <w:r>
              <w:rPr>
                <w:sz w:val="22"/>
              </w:rPr>
              <w:t xml:space="preserve">e </w:t>
            </w:r>
            <w:r w:rsidRPr="00EE1646">
              <w:rPr>
                <w:sz w:val="22"/>
              </w:rPr>
              <w:t>activities and residentials</w:t>
            </w:r>
            <w:r>
              <w:rPr>
                <w:sz w:val="22"/>
              </w:rPr>
              <w:t>.</w:t>
            </w:r>
          </w:p>
          <w:p w14:paraId="0813CFEE" w14:textId="7F19A63B" w:rsidR="00EE1646" w:rsidRPr="00080184" w:rsidRDefault="00EE1646" w:rsidP="00EE1646">
            <w:pPr>
              <w:pStyle w:val="TableRow"/>
              <w:rPr>
                <w:sz w:val="22"/>
              </w:rPr>
            </w:pPr>
            <w:r w:rsidRPr="00EE1646">
              <w:rPr>
                <w:sz w:val="22"/>
              </w:rPr>
              <w:t>Outdoor Ed Teacher and HLTA time to coordinate and lead a range of outdoor education activities</w:t>
            </w:r>
            <w:r w:rsidR="004B73D5">
              <w:rPr>
                <w:sz w:val="22"/>
              </w:rPr>
              <w:t xml:space="preserve"> </w:t>
            </w:r>
            <w:r w:rsidRPr="00EE1646">
              <w:rPr>
                <w:sz w:val="22"/>
              </w:rPr>
              <w:t>across the academic year</w:t>
            </w:r>
            <w:r w:rsidR="004B73D5">
              <w:rPr>
                <w:sz w:val="22"/>
              </w:rPr>
              <w:t xml:space="preserve">. </w:t>
            </w:r>
            <w:r w:rsidR="004B73D5" w:rsidRPr="004B73D5">
              <w:rPr>
                <w:sz w:val="22"/>
              </w:rPr>
              <w:t>Trips and activities budget allocation to ensure disadvantaged pupils have equitable access to extra-curricular activities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6AD01C" w14:textId="17D0950A" w:rsidR="00EE1646" w:rsidRDefault="00EE1646" w:rsidP="009D74A4">
            <w:pPr>
              <w:pStyle w:val="TableRowCentered"/>
              <w:jc w:val="left"/>
              <w:rPr>
                <w:sz w:val="22"/>
              </w:rPr>
            </w:pPr>
            <w:r w:rsidRPr="00EE1646">
              <w:rPr>
                <w:sz w:val="22"/>
              </w:rPr>
              <w:t>The new Ofsted framework requires schools to consider how they develop their children’s cultural capital to help them succeed in life.</w:t>
            </w:r>
            <w:r>
              <w:rPr>
                <w:sz w:val="22"/>
              </w:rPr>
              <w:t xml:space="preserve"> </w:t>
            </w:r>
            <w:r w:rsidRPr="00EE1646">
              <w:rPr>
                <w:sz w:val="22"/>
              </w:rPr>
              <w:t>Our own assessments and knowledge have</w:t>
            </w:r>
            <w:r>
              <w:rPr>
                <w:sz w:val="22"/>
              </w:rPr>
              <w:t xml:space="preserve"> </w:t>
            </w:r>
            <w:r w:rsidRPr="00EE1646">
              <w:rPr>
                <w:sz w:val="22"/>
              </w:rPr>
              <w:t>shown us that by increasing the range of opportunities for pupils to engage in enrichment activities there is</w:t>
            </w:r>
            <w:r>
              <w:rPr>
                <w:sz w:val="22"/>
              </w:rPr>
              <w:t xml:space="preserve"> </w:t>
            </w:r>
            <w:r w:rsidRPr="00EE1646">
              <w:rPr>
                <w:sz w:val="22"/>
              </w:rPr>
              <w:t>corresponding</w:t>
            </w:r>
            <w:r>
              <w:t xml:space="preserve"> </w:t>
            </w:r>
            <w:r w:rsidR="009D74A4">
              <w:t>i</w:t>
            </w:r>
            <w:r w:rsidRPr="00EE1646">
              <w:rPr>
                <w:sz w:val="22"/>
              </w:rPr>
              <w:t>ncrease in self-confidence and resilience which leads to successful and confident learners</w:t>
            </w:r>
          </w:p>
          <w:p w14:paraId="38848205" w14:textId="77777777" w:rsidR="00EE1646" w:rsidRDefault="00EE1646" w:rsidP="005B7222">
            <w:pPr>
              <w:pStyle w:val="TableRowCentered"/>
              <w:jc w:val="left"/>
              <w:rPr>
                <w:sz w:val="22"/>
              </w:rPr>
            </w:pPr>
          </w:p>
          <w:p w14:paraId="7B1C926F" w14:textId="1DBEB723" w:rsidR="00EE1646" w:rsidRPr="005B7222" w:rsidRDefault="00EE1646" w:rsidP="005B7222">
            <w:pPr>
              <w:pStyle w:val="TableRowCentered"/>
              <w:jc w:val="left"/>
              <w:rPr>
                <w:sz w:val="22"/>
              </w:rPr>
            </w:pPr>
            <w:r w:rsidRPr="00EE1646">
              <w:rPr>
                <w:sz w:val="22"/>
              </w:rPr>
              <w:t>EEF Learning Toolkit states there is a wider evidence base to indicate that outdoor learning has positive impacts on self-efficacy, motivation and teamwork, and plays an important role in part of the wider school experience.</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2A9647" w14:textId="40B7130C" w:rsidR="00EE1646" w:rsidRDefault="003E3C09">
            <w:pPr>
              <w:pStyle w:val="TableRowCentered"/>
              <w:jc w:val="left"/>
              <w:rPr>
                <w:sz w:val="22"/>
              </w:rPr>
            </w:pPr>
            <w:r>
              <w:rPr>
                <w:sz w:val="22"/>
              </w:rPr>
              <w:t>4</w:t>
            </w:r>
          </w:p>
        </w:tc>
      </w:tr>
      <w:tr w:rsidR="002E73CF" w14:paraId="4EB7ED7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DDA36" w14:textId="387618DC" w:rsidR="002E73CF" w:rsidRPr="00EE1646" w:rsidRDefault="002E73CF" w:rsidP="002E73CF">
            <w:pPr>
              <w:pStyle w:val="TableRow"/>
              <w:rPr>
                <w:sz w:val="22"/>
              </w:rPr>
            </w:pPr>
            <w:r>
              <w:rPr>
                <w:sz w:val="22"/>
              </w:rPr>
              <w:t xml:space="preserve">Early Help Officer to </w:t>
            </w:r>
            <w:r w:rsidRPr="002E73CF">
              <w:rPr>
                <w:sz w:val="22"/>
              </w:rPr>
              <w:t>signpost help and advice to families who are struggling to</w:t>
            </w:r>
            <w:r>
              <w:rPr>
                <w:sz w:val="22"/>
              </w:rPr>
              <w:t xml:space="preserve"> </w:t>
            </w:r>
            <w:r w:rsidRPr="002E73CF">
              <w:rPr>
                <w:sz w:val="22"/>
              </w:rPr>
              <w:t>understand the impact or cope with their child’s special needs</w:t>
            </w:r>
            <w:r>
              <w:rPr>
                <w:sz w:val="22"/>
              </w:rPr>
              <w:t xml:space="preserve"> </w:t>
            </w:r>
            <w:r w:rsidRPr="002E73CF">
              <w:rPr>
                <w:sz w:val="22"/>
              </w:rPr>
              <w:t>diagnosis.</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A23CF" w14:textId="77777777" w:rsidR="002E73CF" w:rsidRPr="002E73CF" w:rsidRDefault="002E73CF" w:rsidP="002E73CF">
            <w:pPr>
              <w:pStyle w:val="TableRowCentered"/>
              <w:jc w:val="left"/>
              <w:rPr>
                <w:sz w:val="22"/>
              </w:rPr>
            </w:pPr>
            <w:r w:rsidRPr="002E73CF">
              <w:rPr>
                <w:sz w:val="22"/>
              </w:rPr>
              <w:t>EEF Working with parents to support children’s learning</w:t>
            </w:r>
          </w:p>
          <w:p w14:paraId="71B08F78" w14:textId="77777777" w:rsidR="002E73CF" w:rsidRDefault="002E73CF" w:rsidP="002E73CF">
            <w:pPr>
              <w:pStyle w:val="TableRowCentered"/>
              <w:jc w:val="left"/>
              <w:rPr>
                <w:sz w:val="22"/>
              </w:rPr>
            </w:pPr>
            <w:r w:rsidRPr="002E73CF">
              <w:rPr>
                <w:sz w:val="22"/>
              </w:rPr>
              <w:t>Higher than average percentage of pupil premium eligibility</w:t>
            </w:r>
            <w:r w:rsidR="00CA2CDE">
              <w:rPr>
                <w:sz w:val="22"/>
              </w:rPr>
              <w:t>.</w:t>
            </w:r>
          </w:p>
          <w:p w14:paraId="65BDF855" w14:textId="565BC2DD" w:rsidR="00CA2CDE" w:rsidRPr="00CA2CDE" w:rsidRDefault="00CA2CDE" w:rsidP="00CA2CDE">
            <w:pPr>
              <w:pStyle w:val="TableRowCentered"/>
              <w:jc w:val="left"/>
              <w:rPr>
                <w:sz w:val="22"/>
              </w:rPr>
            </w:pPr>
            <w:r w:rsidRPr="00CA2CDE">
              <w:rPr>
                <w:sz w:val="22"/>
              </w:rPr>
              <w:t>Collating our own feedback from person centred reviews and through Home School Agreement targets shows that a consistent approach between home and school will give better outcomes for the pupil.</w:t>
            </w:r>
            <w:r>
              <w:rPr>
                <w:sz w:val="22"/>
              </w:rPr>
              <w:t xml:space="preserve"> </w:t>
            </w:r>
            <w:r w:rsidRPr="00CA2CDE">
              <w:rPr>
                <w:sz w:val="22"/>
              </w:rPr>
              <w:t>Improved emotional resilience of families will in turn impact positively on emotional resilience of families. Families who are more confident in dealing with and knowledgeable about their child’s diagnosis will be more confident in participating in a wider range of activities and improve the cultural capital of their child.</w:t>
            </w:r>
          </w:p>
          <w:p w14:paraId="69691957" w14:textId="08E3DA6C" w:rsidR="00CA2CDE" w:rsidRPr="00EE1646" w:rsidRDefault="00CA2CDE" w:rsidP="00CA2CDE">
            <w:pPr>
              <w:pStyle w:val="TableRowCentered"/>
              <w:rPr>
                <w:sz w:val="22"/>
              </w:rPr>
            </w:pPr>
            <w:r>
              <w:rPr>
                <w:sz w:val="22"/>
              </w:rPr>
              <w:t xml:space="preserve">EEF, </w:t>
            </w:r>
            <w:r w:rsidRPr="00CA2CDE">
              <w:rPr>
                <w:sz w:val="22"/>
              </w:rPr>
              <w:t>teaching-learning</w:t>
            </w:r>
            <w:r>
              <w:rPr>
                <w:sz w:val="22"/>
              </w:rPr>
              <w:t xml:space="preserve"> </w:t>
            </w:r>
            <w:r w:rsidRPr="00CA2CDE">
              <w:rPr>
                <w:sz w:val="22"/>
              </w:rPr>
              <w:t>toolkit</w:t>
            </w:r>
            <w:r>
              <w:rPr>
                <w:sz w:val="22"/>
              </w:rPr>
              <w:t xml:space="preserve">, </w:t>
            </w:r>
            <w:r w:rsidRPr="00CA2CDE">
              <w:rPr>
                <w:sz w:val="22"/>
              </w:rPr>
              <w:t>parental-engagemen</w:t>
            </w:r>
            <w:r>
              <w:rPr>
                <w:sz w:val="22"/>
              </w:rPr>
              <w:t>t.</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FFE02A2" w14:textId="28C3A96C" w:rsidR="002E73CF" w:rsidRDefault="003E3C09">
            <w:pPr>
              <w:pStyle w:val="TableRowCentered"/>
              <w:jc w:val="left"/>
              <w:rPr>
                <w:sz w:val="22"/>
              </w:rPr>
            </w:pPr>
            <w:r>
              <w:rPr>
                <w:sz w:val="22"/>
              </w:rPr>
              <w:t>3,4</w:t>
            </w:r>
          </w:p>
        </w:tc>
      </w:tr>
    </w:tbl>
    <w:p w14:paraId="2A7D5540" w14:textId="77777777" w:rsidR="00E66558" w:rsidRDefault="00E66558">
      <w:pPr>
        <w:spacing w:before="240" w:after="0"/>
        <w:rPr>
          <w:b/>
          <w:bCs/>
          <w:color w:val="104F75"/>
          <w:sz w:val="28"/>
          <w:szCs w:val="28"/>
        </w:rPr>
      </w:pPr>
    </w:p>
    <w:p w14:paraId="2A7D5541" w14:textId="379491DC" w:rsidR="00E66558" w:rsidRDefault="009D71E8" w:rsidP="00120AB1">
      <w:r>
        <w:rPr>
          <w:b/>
          <w:bCs/>
          <w:color w:val="104F75"/>
          <w:sz w:val="28"/>
          <w:szCs w:val="28"/>
        </w:rPr>
        <w:t>Total budgeted cost: £</w:t>
      </w:r>
      <w:r w:rsidR="004224CE">
        <w:rPr>
          <w:b/>
          <w:bCs/>
          <w:color w:val="104F75"/>
          <w:sz w:val="28"/>
          <w:szCs w:val="28"/>
        </w:rPr>
        <w:t>142984</w:t>
      </w:r>
    </w:p>
    <w:p w14:paraId="2A7D5542" w14:textId="18352EC3" w:rsidR="00E66558" w:rsidRPr="00064366" w:rsidRDefault="009D71E8" w:rsidP="00064366">
      <w:pPr>
        <w:pStyle w:val="Heading1"/>
      </w:pPr>
      <w:r w:rsidRPr="00064366">
        <w:lastRenderedPageBreak/>
        <w:t>Part B: Review of the previous academic year</w:t>
      </w:r>
    </w:p>
    <w:p w14:paraId="751285B7" w14:textId="72ACB452" w:rsidR="008B6404" w:rsidRDefault="00064366" w:rsidP="00173D4C">
      <w:pPr>
        <w:pStyle w:val="Heading2"/>
      </w:pPr>
      <w:r w:rsidRPr="00173D4C">
        <w:t>Outcomes for disadvantaged pupils</w:t>
      </w:r>
    </w:p>
    <w:tbl>
      <w:tblPr>
        <w:tblW w:w="9493" w:type="dxa"/>
        <w:tblCellMar>
          <w:left w:w="10" w:type="dxa"/>
          <w:right w:w="10" w:type="dxa"/>
        </w:tblCellMar>
        <w:tblLook w:val="04A0" w:firstRow="1" w:lastRow="0" w:firstColumn="1" w:lastColumn="0" w:noHBand="0" w:noVBand="1"/>
      </w:tblPr>
      <w:tblGrid>
        <w:gridCol w:w="9493"/>
      </w:tblGrid>
      <w:tr w:rsidR="00173D4C" w14:paraId="7FB51099" w14:textId="77777777" w:rsidTr="00EB09BC">
        <w:trPr>
          <w:trHeight w:val="1102"/>
        </w:trPr>
        <w:tc>
          <w:tcPr>
            <w:tcW w:w="94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3FFAB1F2" w14:textId="14BDF6E8" w:rsidR="00995186" w:rsidRDefault="00D81B6A" w:rsidP="001671ED">
            <w:pPr>
              <w:spacing w:before="60"/>
              <w:rPr>
                <w:b/>
                <w:iCs/>
                <w:lang w:eastAsia="en-US"/>
              </w:rPr>
            </w:pPr>
            <w:r w:rsidRPr="00D81B6A">
              <w:rPr>
                <w:b/>
                <w:iCs/>
                <w:lang w:eastAsia="en-US"/>
              </w:rPr>
              <w:t>Education outcomes for primary pupils</w:t>
            </w:r>
            <w:r>
              <w:rPr>
                <w:b/>
                <w:iCs/>
                <w:lang w:eastAsia="en-US"/>
              </w:rPr>
              <w:t>:</w:t>
            </w:r>
          </w:p>
          <w:p w14:paraId="3531B6C7" w14:textId="5CA062E1" w:rsidR="00D81B6A" w:rsidRDefault="00D81B6A" w:rsidP="001671ED">
            <w:pPr>
              <w:spacing w:before="60"/>
              <w:rPr>
                <w:iCs/>
                <w:lang w:eastAsia="en-US"/>
              </w:rPr>
            </w:pPr>
            <w:r>
              <w:rPr>
                <w:iCs/>
                <w:lang w:eastAsia="en-US"/>
              </w:rPr>
              <w:t>We have analysed the performance of our school’s disadvantaged pupils during the 2021/22 academic year using our own internal assessments.</w:t>
            </w:r>
            <w:r w:rsidR="00685F35">
              <w:rPr>
                <w:iCs/>
                <w:lang w:eastAsia="en-US"/>
              </w:rPr>
              <w:t xml:space="preserve"> It has show</w:t>
            </w:r>
            <w:r w:rsidR="00C52E1E">
              <w:rPr>
                <w:iCs/>
                <w:lang w:eastAsia="en-US"/>
              </w:rPr>
              <w:t>n</w:t>
            </w:r>
            <w:r w:rsidR="00685F35">
              <w:rPr>
                <w:iCs/>
                <w:lang w:eastAsia="en-US"/>
              </w:rPr>
              <w:t>:</w:t>
            </w:r>
          </w:p>
          <w:tbl>
            <w:tblPr>
              <w:tblStyle w:val="TableGrid"/>
              <w:tblW w:w="0" w:type="auto"/>
              <w:tblLook w:val="04A0" w:firstRow="1" w:lastRow="0" w:firstColumn="1" w:lastColumn="0" w:noHBand="0" w:noVBand="1"/>
            </w:tblPr>
            <w:tblGrid>
              <w:gridCol w:w="3089"/>
              <w:gridCol w:w="3089"/>
              <w:gridCol w:w="3089"/>
            </w:tblGrid>
            <w:tr w:rsidR="00685F35" w14:paraId="231FA7B9" w14:textId="77777777" w:rsidTr="00F03B5C">
              <w:tc>
                <w:tcPr>
                  <w:tcW w:w="9267" w:type="dxa"/>
                  <w:gridSpan w:val="3"/>
                </w:tcPr>
                <w:p w14:paraId="4FE8700E" w14:textId="4474301C" w:rsidR="00685F35" w:rsidRDefault="00685F35" w:rsidP="00685F35">
                  <w:pPr>
                    <w:jc w:val="center"/>
                    <w:rPr>
                      <w:color w:val="auto"/>
                      <w:sz w:val="22"/>
                      <w:szCs w:val="22"/>
                    </w:rPr>
                  </w:pPr>
                  <w:r>
                    <w:rPr>
                      <w:color w:val="000000"/>
                    </w:rPr>
                    <w:t>EYFS and KS1</w:t>
                  </w:r>
                </w:p>
              </w:tc>
            </w:tr>
            <w:tr w:rsidR="00685F35" w14:paraId="3C0B84CD" w14:textId="77777777" w:rsidTr="00F03B5C">
              <w:tc>
                <w:tcPr>
                  <w:tcW w:w="3089" w:type="dxa"/>
                </w:tcPr>
                <w:p w14:paraId="1072277F" w14:textId="77777777" w:rsidR="00685F35" w:rsidRDefault="00685F35" w:rsidP="00685F35">
                  <w:pPr>
                    <w:rPr>
                      <w:color w:val="auto"/>
                      <w:sz w:val="22"/>
                      <w:szCs w:val="22"/>
                    </w:rPr>
                  </w:pPr>
                </w:p>
              </w:tc>
              <w:tc>
                <w:tcPr>
                  <w:tcW w:w="3089" w:type="dxa"/>
                </w:tcPr>
                <w:p w14:paraId="0661EAF6" w14:textId="6E12B361" w:rsidR="00685F35" w:rsidRDefault="00685F35" w:rsidP="00685F35">
                  <w:pPr>
                    <w:rPr>
                      <w:color w:val="auto"/>
                      <w:sz w:val="22"/>
                      <w:szCs w:val="22"/>
                    </w:rPr>
                  </w:pPr>
                  <w:r>
                    <w:rPr>
                      <w:color w:val="auto"/>
                      <w:sz w:val="22"/>
                      <w:szCs w:val="22"/>
                    </w:rPr>
                    <w:t>Percentage of Pupil Premium eligible students assessed at this level against their</w:t>
                  </w:r>
                  <w:r w:rsidR="00C52E1E">
                    <w:rPr>
                      <w:color w:val="auto"/>
                      <w:sz w:val="22"/>
                      <w:szCs w:val="22"/>
                    </w:rPr>
                    <w:t xml:space="preserve"> HSA</w:t>
                  </w:r>
                  <w:r>
                    <w:rPr>
                      <w:color w:val="auto"/>
                      <w:sz w:val="22"/>
                      <w:szCs w:val="22"/>
                    </w:rPr>
                    <w:t xml:space="preserve"> targets </w:t>
                  </w:r>
                </w:p>
              </w:tc>
              <w:tc>
                <w:tcPr>
                  <w:tcW w:w="3089" w:type="dxa"/>
                </w:tcPr>
                <w:p w14:paraId="757F9F34" w14:textId="05F9D656" w:rsidR="00685F35" w:rsidRDefault="00685F35" w:rsidP="00685F35">
                  <w:pPr>
                    <w:rPr>
                      <w:color w:val="auto"/>
                      <w:sz w:val="22"/>
                      <w:szCs w:val="22"/>
                    </w:rPr>
                  </w:pPr>
                  <w:r>
                    <w:rPr>
                      <w:color w:val="auto"/>
                      <w:sz w:val="22"/>
                      <w:szCs w:val="22"/>
                    </w:rPr>
                    <w:t>Non-Pupil Premium eligible students assessed at this level against their</w:t>
                  </w:r>
                  <w:r w:rsidR="00C52E1E">
                    <w:rPr>
                      <w:color w:val="auto"/>
                      <w:sz w:val="22"/>
                      <w:szCs w:val="22"/>
                    </w:rPr>
                    <w:t xml:space="preserve"> HSA</w:t>
                  </w:r>
                  <w:r>
                    <w:rPr>
                      <w:color w:val="auto"/>
                      <w:sz w:val="22"/>
                      <w:szCs w:val="22"/>
                    </w:rPr>
                    <w:t xml:space="preserve"> targets</w:t>
                  </w:r>
                </w:p>
              </w:tc>
            </w:tr>
            <w:tr w:rsidR="00685F35" w14:paraId="2852F6BE" w14:textId="77777777" w:rsidTr="00F03B5C">
              <w:tc>
                <w:tcPr>
                  <w:tcW w:w="3089" w:type="dxa"/>
                </w:tcPr>
                <w:p w14:paraId="20F29081" w14:textId="77777777" w:rsidR="00685F35" w:rsidRDefault="00685F35" w:rsidP="00685F35">
                  <w:pPr>
                    <w:rPr>
                      <w:color w:val="auto"/>
                      <w:sz w:val="22"/>
                      <w:szCs w:val="22"/>
                    </w:rPr>
                  </w:pPr>
                  <w:r>
                    <w:rPr>
                      <w:color w:val="auto"/>
                      <w:sz w:val="22"/>
                      <w:szCs w:val="22"/>
                    </w:rPr>
                    <w:t>Exceeding</w:t>
                  </w:r>
                </w:p>
              </w:tc>
              <w:tc>
                <w:tcPr>
                  <w:tcW w:w="3089" w:type="dxa"/>
                </w:tcPr>
                <w:p w14:paraId="149E6B26" w14:textId="34AB3CA8" w:rsidR="00685F35" w:rsidRDefault="00916B92" w:rsidP="00685F35">
                  <w:pPr>
                    <w:rPr>
                      <w:color w:val="auto"/>
                      <w:sz w:val="22"/>
                      <w:szCs w:val="22"/>
                    </w:rPr>
                  </w:pPr>
                  <w:r>
                    <w:rPr>
                      <w:color w:val="auto"/>
                      <w:sz w:val="22"/>
                      <w:szCs w:val="22"/>
                    </w:rPr>
                    <w:t>11%</w:t>
                  </w:r>
                </w:p>
              </w:tc>
              <w:tc>
                <w:tcPr>
                  <w:tcW w:w="3089" w:type="dxa"/>
                </w:tcPr>
                <w:p w14:paraId="1C8152D2" w14:textId="7A7DB405" w:rsidR="00685F35" w:rsidRDefault="00916B92" w:rsidP="00685F35">
                  <w:pPr>
                    <w:rPr>
                      <w:color w:val="auto"/>
                      <w:sz w:val="22"/>
                      <w:szCs w:val="22"/>
                    </w:rPr>
                  </w:pPr>
                  <w:r>
                    <w:rPr>
                      <w:color w:val="auto"/>
                      <w:sz w:val="22"/>
                      <w:szCs w:val="22"/>
                    </w:rPr>
                    <w:t>10%</w:t>
                  </w:r>
                </w:p>
              </w:tc>
            </w:tr>
            <w:tr w:rsidR="00685F35" w14:paraId="3D9BBF83" w14:textId="77777777" w:rsidTr="00F03B5C">
              <w:tc>
                <w:tcPr>
                  <w:tcW w:w="3089" w:type="dxa"/>
                </w:tcPr>
                <w:p w14:paraId="11D09032" w14:textId="77777777" w:rsidR="00685F35" w:rsidRDefault="00685F35" w:rsidP="00685F35">
                  <w:pPr>
                    <w:rPr>
                      <w:color w:val="auto"/>
                      <w:sz w:val="22"/>
                      <w:szCs w:val="22"/>
                    </w:rPr>
                  </w:pPr>
                  <w:r>
                    <w:rPr>
                      <w:color w:val="auto"/>
                      <w:sz w:val="22"/>
                      <w:szCs w:val="22"/>
                    </w:rPr>
                    <w:t>Secure</w:t>
                  </w:r>
                </w:p>
              </w:tc>
              <w:tc>
                <w:tcPr>
                  <w:tcW w:w="3089" w:type="dxa"/>
                </w:tcPr>
                <w:p w14:paraId="09389859" w14:textId="6E36A3F6" w:rsidR="00685F35" w:rsidRDefault="00916B92" w:rsidP="00685F35">
                  <w:pPr>
                    <w:rPr>
                      <w:color w:val="auto"/>
                      <w:sz w:val="22"/>
                      <w:szCs w:val="22"/>
                    </w:rPr>
                  </w:pPr>
                  <w:r>
                    <w:rPr>
                      <w:color w:val="auto"/>
                      <w:sz w:val="22"/>
                      <w:szCs w:val="22"/>
                    </w:rPr>
                    <w:t>38%</w:t>
                  </w:r>
                </w:p>
              </w:tc>
              <w:tc>
                <w:tcPr>
                  <w:tcW w:w="3089" w:type="dxa"/>
                  <w:vAlign w:val="bottom"/>
                </w:tcPr>
                <w:p w14:paraId="5B393B10" w14:textId="1A03168C" w:rsidR="00685F35" w:rsidRDefault="00916B92" w:rsidP="00685F35">
                  <w:pPr>
                    <w:rPr>
                      <w:color w:val="auto"/>
                      <w:sz w:val="22"/>
                      <w:szCs w:val="22"/>
                    </w:rPr>
                  </w:pPr>
                  <w:r>
                    <w:rPr>
                      <w:color w:val="auto"/>
                      <w:sz w:val="22"/>
                      <w:szCs w:val="22"/>
                    </w:rPr>
                    <w:t>41%</w:t>
                  </w:r>
                </w:p>
              </w:tc>
            </w:tr>
            <w:tr w:rsidR="00685F35" w14:paraId="33706010" w14:textId="77777777" w:rsidTr="00F03B5C">
              <w:tc>
                <w:tcPr>
                  <w:tcW w:w="3089" w:type="dxa"/>
                </w:tcPr>
                <w:p w14:paraId="1B0ED13E" w14:textId="77777777" w:rsidR="00685F35" w:rsidRDefault="00685F35" w:rsidP="00685F35">
                  <w:pPr>
                    <w:rPr>
                      <w:color w:val="auto"/>
                      <w:sz w:val="22"/>
                      <w:szCs w:val="22"/>
                    </w:rPr>
                  </w:pPr>
                  <w:r>
                    <w:rPr>
                      <w:color w:val="auto"/>
                      <w:sz w:val="22"/>
                      <w:szCs w:val="22"/>
                    </w:rPr>
                    <w:t>Developing</w:t>
                  </w:r>
                </w:p>
              </w:tc>
              <w:tc>
                <w:tcPr>
                  <w:tcW w:w="3089" w:type="dxa"/>
                </w:tcPr>
                <w:p w14:paraId="227E0A65" w14:textId="1ADDCF69" w:rsidR="00685F35" w:rsidRDefault="00916B92" w:rsidP="00685F35">
                  <w:pPr>
                    <w:rPr>
                      <w:color w:val="auto"/>
                      <w:sz w:val="22"/>
                      <w:szCs w:val="22"/>
                    </w:rPr>
                  </w:pPr>
                  <w:r>
                    <w:rPr>
                      <w:color w:val="auto"/>
                      <w:sz w:val="22"/>
                      <w:szCs w:val="22"/>
                    </w:rPr>
                    <w:t>42%</w:t>
                  </w:r>
                </w:p>
              </w:tc>
              <w:tc>
                <w:tcPr>
                  <w:tcW w:w="3089" w:type="dxa"/>
                </w:tcPr>
                <w:p w14:paraId="58619A7C" w14:textId="2A75B9C1" w:rsidR="00685F35" w:rsidRDefault="00916B92" w:rsidP="00685F35">
                  <w:pPr>
                    <w:rPr>
                      <w:color w:val="auto"/>
                      <w:sz w:val="22"/>
                      <w:szCs w:val="22"/>
                    </w:rPr>
                  </w:pPr>
                  <w:r>
                    <w:rPr>
                      <w:color w:val="auto"/>
                      <w:sz w:val="22"/>
                      <w:szCs w:val="22"/>
                    </w:rPr>
                    <w:t>37%</w:t>
                  </w:r>
                </w:p>
              </w:tc>
            </w:tr>
            <w:tr w:rsidR="00685F35" w14:paraId="630B3BB4" w14:textId="77777777" w:rsidTr="00F03B5C">
              <w:tc>
                <w:tcPr>
                  <w:tcW w:w="3089" w:type="dxa"/>
                </w:tcPr>
                <w:p w14:paraId="7922178E" w14:textId="77777777" w:rsidR="00685F35" w:rsidRDefault="00685F35" w:rsidP="00685F35">
                  <w:pPr>
                    <w:rPr>
                      <w:color w:val="auto"/>
                      <w:sz w:val="22"/>
                      <w:szCs w:val="22"/>
                    </w:rPr>
                  </w:pPr>
                  <w:r>
                    <w:rPr>
                      <w:color w:val="auto"/>
                      <w:sz w:val="22"/>
                      <w:szCs w:val="22"/>
                    </w:rPr>
                    <w:t>Emerging</w:t>
                  </w:r>
                </w:p>
              </w:tc>
              <w:tc>
                <w:tcPr>
                  <w:tcW w:w="3089" w:type="dxa"/>
                </w:tcPr>
                <w:p w14:paraId="2BEEA94F" w14:textId="7C544CBC" w:rsidR="00685F35" w:rsidRDefault="00916B92" w:rsidP="00685F35">
                  <w:pPr>
                    <w:rPr>
                      <w:color w:val="auto"/>
                      <w:sz w:val="22"/>
                      <w:szCs w:val="22"/>
                    </w:rPr>
                  </w:pPr>
                  <w:r>
                    <w:rPr>
                      <w:color w:val="auto"/>
                      <w:sz w:val="22"/>
                      <w:szCs w:val="22"/>
                    </w:rPr>
                    <w:t>7%</w:t>
                  </w:r>
                </w:p>
              </w:tc>
              <w:tc>
                <w:tcPr>
                  <w:tcW w:w="3089" w:type="dxa"/>
                </w:tcPr>
                <w:p w14:paraId="7DE205F3" w14:textId="57B870A6" w:rsidR="00685F35" w:rsidRDefault="00916B92" w:rsidP="00685F35">
                  <w:pPr>
                    <w:rPr>
                      <w:color w:val="auto"/>
                      <w:sz w:val="22"/>
                      <w:szCs w:val="22"/>
                    </w:rPr>
                  </w:pPr>
                  <w:r>
                    <w:rPr>
                      <w:color w:val="auto"/>
                      <w:sz w:val="22"/>
                      <w:szCs w:val="22"/>
                    </w:rPr>
                    <w:t>6%</w:t>
                  </w:r>
                </w:p>
              </w:tc>
            </w:tr>
          </w:tbl>
          <w:p w14:paraId="15DE8D15" w14:textId="0AEBA7B5" w:rsidR="00685F35" w:rsidRDefault="00685F35" w:rsidP="001671ED">
            <w:pPr>
              <w:spacing w:before="60"/>
              <w:rPr>
                <w:iCs/>
                <w:lang w:eastAsia="en-US"/>
              </w:rPr>
            </w:pPr>
          </w:p>
          <w:tbl>
            <w:tblPr>
              <w:tblStyle w:val="TableGrid"/>
              <w:tblW w:w="0" w:type="auto"/>
              <w:tblLook w:val="04A0" w:firstRow="1" w:lastRow="0" w:firstColumn="1" w:lastColumn="0" w:noHBand="0" w:noVBand="1"/>
            </w:tblPr>
            <w:tblGrid>
              <w:gridCol w:w="3089"/>
              <w:gridCol w:w="3089"/>
              <w:gridCol w:w="3089"/>
            </w:tblGrid>
            <w:tr w:rsidR="00685F35" w14:paraId="7CA13289" w14:textId="77777777" w:rsidTr="00F03B5C">
              <w:tc>
                <w:tcPr>
                  <w:tcW w:w="9267" w:type="dxa"/>
                  <w:gridSpan w:val="3"/>
                </w:tcPr>
                <w:p w14:paraId="6A8B49F5" w14:textId="4E62B441" w:rsidR="00685F35" w:rsidRDefault="00685F35" w:rsidP="00685F35">
                  <w:pPr>
                    <w:jc w:val="center"/>
                    <w:rPr>
                      <w:color w:val="auto"/>
                      <w:sz w:val="22"/>
                      <w:szCs w:val="22"/>
                    </w:rPr>
                  </w:pPr>
                  <w:r>
                    <w:rPr>
                      <w:color w:val="000000"/>
                    </w:rPr>
                    <w:t>KS2</w:t>
                  </w:r>
                </w:p>
              </w:tc>
            </w:tr>
            <w:tr w:rsidR="00685F35" w14:paraId="6F89AC41" w14:textId="77777777" w:rsidTr="00F03B5C">
              <w:tc>
                <w:tcPr>
                  <w:tcW w:w="3089" w:type="dxa"/>
                </w:tcPr>
                <w:p w14:paraId="4F1CBF9C" w14:textId="77777777" w:rsidR="00685F35" w:rsidRDefault="00685F35" w:rsidP="00685F35">
                  <w:pPr>
                    <w:rPr>
                      <w:color w:val="auto"/>
                      <w:sz w:val="22"/>
                      <w:szCs w:val="22"/>
                    </w:rPr>
                  </w:pPr>
                </w:p>
              </w:tc>
              <w:tc>
                <w:tcPr>
                  <w:tcW w:w="3089" w:type="dxa"/>
                </w:tcPr>
                <w:p w14:paraId="1CEF97AB" w14:textId="77777777" w:rsidR="00685F35" w:rsidRDefault="00685F35" w:rsidP="00685F35">
                  <w:pPr>
                    <w:rPr>
                      <w:color w:val="auto"/>
                      <w:sz w:val="22"/>
                      <w:szCs w:val="22"/>
                    </w:rPr>
                  </w:pPr>
                  <w:r>
                    <w:rPr>
                      <w:color w:val="auto"/>
                      <w:sz w:val="22"/>
                      <w:szCs w:val="22"/>
                    </w:rPr>
                    <w:t xml:space="preserve">Percentage of Pupil Premium eligible students assessed at this level against their targets </w:t>
                  </w:r>
                </w:p>
              </w:tc>
              <w:tc>
                <w:tcPr>
                  <w:tcW w:w="3089" w:type="dxa"/>
                </w:tcPr>
                <w:p w14:paraId="2E9A465A" w14:textId="77777777" w:rsidR="00685F35" w:rsidRDefault="00685F35" w:rsidP="00685F35">
                  <w:pPr>
                    <w:rPr>
                      <w:color w:val="auto"/>
                      <w:sz w:val="22"/>
                      <w:szCs w:val="22"/>
                    </w:rPr>
                  </w:pPr>
                  <w:r>
                    <w:rPr>
                      <w:color w:val="auto"/>
                      <w:sz w:val="22"/>
                      <w:szCs w:val="22"/>
                    </w:rPr>
                    <w:t>Non-Pupil Premium eligible students assessed at this level against their targets</w:t>
                  </w:r>
                </w:p>
              </w:tc>
            </w:tr>
            <w:tr w:rsidR="00685F35" w14:paraId="447D21C6" w14:textId="77777777" w:rsidTr="00F03B5C">
              <w:tc>
                <w:tcPr>
                  <w:tcW w:w="3089" w:type="dxa"/>
                </w:tcPr>
                <w:p w14:paraId="0FA23759" w14:textId="77777777" w:rsidR="00685F35" w:rsidRDefault="00685F35" w:rsidP="00685F35">
                  <w:pPr>
                    <w:rPr>
                      <w:color w:val="auto"/>
                      <w:sz w:val="22"/>
                      <w:szCs w:val="22"/>
                    </w:rPr>
                  </w:pPr>
                  <w:r>
                    <w:rPr>
                      <w:color w:val="auto"/>
                      <w:sz w:val="22"/>
                      <w:szCs w:val="22"/>
                    </w:rPr>
                    <w:t>Exceeding</w:t>
                  </w:r>
                </w:p>
              </w:tc>
              <w:tc>
                <w:tcPr>
                  <w:tcW w:w="3089" w:type="dxa"/>
                </w:tcPr>
                <w:p w14:paraId="5D31FD04" w14:textId="38C90479" w:rsidR="00685F35" w:rsidRDefault="00462601" w:rsidP="00685F35">
                  <w:pPr>
                    <w:rPr>
                      <w:color w:val="auto"/>
                      <w:sz w:val="22"/>
                      <w:szCs w:val="22"/>
                    </w:rPr>
                  </w:pPr>
                  <w:r>
                    <w:rPr>
                      <w:color w:val="auto"/>
                      <w:sz w:val="22"/>
                      <w:szCs w:val="22"/>
                    </w:rPr>
                    <w:t>6%</w:t>
                  </w:r>
                </w:p>
              </w:tc>
              <w:tc>
                <w:tcPr>
                  <w:tcW w:w="3089" w:type="dxa"/>
                </w:tcPr>
                <w:p w14:paraId="61C45852" w14:textId="73A03E69" w:rsidR="00685F35" w:rsidRDefault="00462601" w:rsidP="00685F35">
                  <w:pPr>
                    <w:rPr>
                      <w:color w:val="auto"/>
                      <w:sz w:val="22"/>
                      <w:szCs w:val="22"/>
                    </w:rPr>
                  </w:pPr>
                  <w:r>
                    <w:rPr>
                      <w:color w:val="auto"/>
                      <w:sz w:val="22"/>
                      <w:szCs w:val="22"/>
                    </w:rPr>
                    <w:t>17%</w:t>
                  </w:r>
                </w:p>
              </w:tc>
            </w:tr>
            <w:tr w:rsidR="00685F35" w14:paraId="5CBAA065" w14:textId="77777777" w:rsidTr="00F03B5C">
              <w:tc>
                <w:tcPr>
                  <w:tcW w:w="3089" w:type="dxa"/>
                </w:tcPr>
                <w:p w14:paraId="0F85768F" w14:textId="77777777" w:rsidR="00685F35" w:rsidRDefault="00685F35" w:rsidP="00685F35">
                  <w:pPr>
                    <w:rPr>
                      <w:color w:val="auto"/>
                      <w:sz w:val="22"/>
                      <w:szCs w:val="22"/>
                    </w:rPr>
                  </w:pPr>
                  <w:r>
                    <w:rPr>
                      <w:color w:val="auto"/>
                      <w:sz w:val="22"/>
                      <w:szCs w:val="22"/>
                    </w:rPr>
                    <w:t>Secure</w:t>
                  </w:r>
                </w:p>
              </w:tc>
              <w:tc>
                <w:tcPr>
                  <w:tcW w:w="3089" w:type="dxa"/>
                </w:tcPr>
                <w:p w14:paraId="0E220652" w14:textId="730657A5" w:rsidR="00685F35" w:rsidRDefault="00462601" w:rsidP="00685F35">
                  <w:pPr>
                    <w:rPr>
                      <w:color w:val="auto"/>
                      <w:sz w:val="22"/>
                      <w:szCs w:val="22"/>
                    </w:rPr>
                  </w:pPr>
                  <w:r>
                    <w:rPr>
                      <w:color w:val="auto"/>
                      <w:sz w:val="22"/>
                      <w:szCs w:val="22"/>
                    </w:rPr>
                    <w:t>36%</w:t>
                  </w:r>
                </w:p>
              </w:tc>
              <w:tc>
                <w:tcPr>
                  <w:tcW w:w="3089" w:type="dxa"/>
                  <w:vAlign w:val="bottom"/>
                </w:tcPr>
                <w:p w14:paraId="4A593E5F" w14:textId="7F8C7C77" w:rsidR="00685F35" w:rsidRDefault="00462601" w:rsidP="00685F35">
                  <w:pPr>
                    <w:rPr>
                      <w:color w:val="auto"/>
                      <w:sz w:val="22"/>
                      <w:szCs w:val="22"/>
                    </w:rPr>
                  </w:pPr>
                  <w:r>
                    <w:rPr>
                      <w:color w:val="auto"/>
                      <w:sz w:val="22"/>
                      <w:szCs w:val="22"/>
                    </w:rPr>
                    <w:t>34%</w:t>
                  </w:r>
                </w:p>
              </w:tc>
            </w:tr>
            <w:tr w:rsidR="00685F35" w14:paraId="77C677F8" w14:textId="77777777" w:rsidTr="00F03B5C">
              <w:tc>
                <w:tcPr>
                  <w:tcW w:w="3089" w:type="dxa"/>
                </w:tcPr>
                <w:p w14:paraId="7EA83361" w14:textId="77777777" w:rsidR="00685F35" w:rsidRDefault="00685F35" w:rsidP="00685F35">
                  <w:pPr>
                    <w:rPr>
                      <w:color w:val="auto"/>
                      <w:sz w:val="22"/>
                      <w:szCs w:val="22"/>
                    </w:rPr>
                  </w:pPr>
                  <w:r>
                    <w:rPr>
                      <w:color w:val="auto"/>
                      <w:sz w:val="22"/>
                      <w:szCs w:val="22"/>
                    </w:rPr>
                    <w:t>Developing</w:t>
                  </w:r>
                </w:p>
              </w:tc>
              <w:tc>
                <w:tcPr>
                  <w:tcW w:w="3089" w:type="dxa"/>
                </w:tcPr>
                <w:p w14:paraId="15C817A3" w14:textId="153110CD" w:rsidR="00685F35" w:rsidRDefault="00462601" w:rsidP="00685F35">
                  <w:pPr>
                    <w:rPr>
                      <w:color w:val="auto"/>
                      <w:sz w:val="22"/>
                      <w:szCs w:val="22"/>
                    </w:rPr>
                  </w:pPr>
                  <w:r>
                    <w:rPr>
                      <w:color w:val="auto"/>
                      <w:sz w:val="22"/>
                      <w:szCs w:val="22"/>
                    </w:rPr>
                    <w:t>51%</w:t>
                  </w:r>
                </w:p>
              </w:tc>
              <w:tc>
                <w:tcPr>
                  <w:tcW w:w="3089" w:type="dxa"/>
                </w:tcPr>
                <w:p w14:paraId="383F8462" w14:textId="7D3509CC" w:rsidR="00685F35" w:rsidRDefault="00462601" w:rsidP="00685F35">
                  <w:pPr>
                    <w:rPr>
                      <w:color w:val="auto"/>
                      <w:sz w:val="22"/>
                      <w:szCs w:val="22"/>
                    </w:rPr>
                  </w:pPr>
                  <w:r>
                    <w:rPr>
                      <w:color w:val="auto"/>
                      <w:sz w:val="22"/>
                      <w:szCs w:val="22"/>
                    </w:rPr>
                    <w:t>45%</w:t>
                  </w:r>
                </w:p>
              </w:tc>
            </w:tr>
            <w:tr w:rsidR="00685F35" w14:paraId="4EE22EE8" w14:textId="77777777" w:rsidTr="00F03B5C">
              <w:tc>
                <w:tcPr>
                  <w:tcW w:w="3089" w:type="dxa"/>
                </w:tcPr>
                <w:p w14:paraId="13F5532B" w14:textId="77777777" w:rsidR="00685F35" w:rsidRDefault="00685F35" w:rsidP="00685F35">
                  <w:pPr>
                    <w:rPr>
                      <w:color w:val="auto"/>
                      <w:sz w:val="22"/>
                      <w:szCs w:val="22"/>
                    </w:rPr>
                  </w:pPr>
                  <w:r>
                    <w:rPr>
                      <w:color w:val="auto"/>
                      <w:sz w:val="22"/>
                      <w:szCs w:val="22"/>
                    </w:rPr>
                    <w:t>Emerging</w:t>
                  </w:r>
                </w:p>
              </w:tc>
              <w:tc>
                <w:tcPr>
                  <w:tcW w:w="3089" w:type="dxa"/>
                </w:tcPr>
                <w:p w14:paraId="458445A7" w14:textId="39709C77" w:rsidR="00685F35" w:rsidRDefault="00462601" w:rsidP="00685F35">
                  <w:pPr>
                    <w:rPr>
                      <w:color w:val="auto"/>
                      <w:sz w:val="22"/>
                      <w:szCs w:val="22"/>
                    </w:rPr>
                  </w:pPr>
                  <w:r>
                    <w:rPr>
                      <w:color w:val="auto"/>
                      <w:sz w:val="22"/>
                      <w:szCs w:val="22"/>
                    </w:rPr>
                    <w:t>5%</w:t>
                  </w:r>
                </w:p>
              </w:tc>
              <w:tc>
                <w:tcPr>
                  <w:tcW w:w="3089" w:type="dxa"/>
                </w:tcPr>
                <w:p w14:paraId="7E70F7DF" w14:textId="1F3DE5AC" w:rsidR="00685F35" w:rsidRDefault="00462601" w:rsidP="00685F35">
                  <w:pPr>
                    <w:rPr>
                      <w:color w:val="auto"/>
                      <w:sz w:val="22"/>
                      <w:szCs w:val="22"/>
                    </w:rPr>
                  </w:pPr>
                  <w:r>
                    <w:rPr>
                      <w:color w:val="auto"/>
                      <w:sz w:val="22"/>
                      <w:szCs w:val="22"/>
                    </w:rPr>
                    <w:t>3%</w:t>
                  </w:r>
                </w:p>
              </w:tc>
            </w:tr>
          </w:tbl>
          <w:p w14:paraId="772E0CDC" w14:textId="77777777" w:rsidR="00685F35" w:rsidRDefault="00685F35" w:rsidP="001671ED">
            <w:pPr>
              <w:spacing w:before="60"/>
              <w:rPr>
                <w:iCs/>
                <w:lang w:eastAsia="en-US"/>
              </w:rPr>
            </w:pPr>
          </w:p>
          <w:p w14:paraId="56B5DF0C" w14:textId="3E66C05D" w:rsidR="00D81B6A" w:rsidRPr="00D81B6A" w:rsidRDefault="00D81B6A" w:rsidP="001671ED">
            <w:pPr>
              <w:spacing w:before="60"/>
              <w:rPr>
                <w:iCs/>
                <w:lang w:eastAsia="en-US"/>
              </w:rPr>
            </w:pPr>
            <w:r>
              <w:rPr>
                <w:iCs/>
                <w:lang w:eastAsia="en-US"/>
              </w:rPr>
              <w:t xml:space="preserve">Data from tests and assessments suggest that  </w:t>
            </w:r>
          </w:p>
          <w:p w14:paraId="3013EC7E" w14:textId="4BB63FE5" w:rsidR="00D81B6A" w:rsidRDefault="00D81B6A" w:rsidP="001671ED">
            <w:pPr>
              <w:spacing w:before="60"/>
              <w:rPr>
                <w:b/>
                <w:iCs/>
                <w:lang w:eastAsia="en-US"/>
              </w:rPr>
            </w:pPr>
            <w:r>
              <w:rPr>
                <w:b/>
                <w:iCs/>
                <w:lang w:eastAsia="en-US"/>
              </w:rPr>
              <w:t>Education outcomes for secondary pupils:</w:t>
            </w:r>
          </w:p>
          <w:p w14:paraId="644F6D5D" w14:textId="01477C20" w:rsidR="00F92741" w:rsidRDefault="00F92741" w:rsidP="00F92741">
            <w:r>
              <w:lastRenderedPageBreak/>
              <w:t xml:space="preserve">We have analysed the performance of our school’s disadvantaged pupils during the 2021/22 academic year using EFL and our own internal assessments. It has shown: </w:t>
            </w:r>
          </w:p>
          <w:p w14:paraId="2E718841" w14:textId="77777777" w:rsidR="00C52E1E" w:rsidRDefault="00C52E1E" w:rsidP="00F92741"/>
          <w:tbl>
            <w:tblPr>
              <w:tblStyle w:val="TableGrid"/>
              <w:tblW w:w="0" w:type="auto"/>
              <w:tblLook w:val="04A0" w:firstRow="1" w:lastRow="0" w:firstColumn="1" w:lastColumn="0" w:noHBand="0" w:noVBand="1"/>
            </w:tblPr>
            <w:tblGrid>
              <w:gridCol w:w="3089"/>
              <w:gridCol w:w="3089"/>
              <w:gridCol w:w="3089"/>
            </w:tblGrid>
            <w:tr w:rsidR="00F92741" w14:paraId="3A71D659" w14:textId="77777777" w:rsidTr="005948C6">
              <w:tc>
                <w:tcPr>
                  <w:tcW w:w="9267" w:type="dxa"/>
                  <w:gridSpan w:val="3"/>
                </w:tcPr>
                <w:p w14:paraId="2F285C83" w14:textId="6C0CE361" w:rsidR="00F92741" w:rsidRDefault="00F92741" w:rsidP="00F92741">
                  <w:pPr>
                    <w:jc w:val="center"/>
                    <w:rPr>
                      <w:color w:val="auto"/>
                      <w:sz w:val="22"/>
                      <w:szCs w:val="22"/>
                    </w:rPr>
                  </w:pPr>
                  <w:bookmarkStart w:id="17" w:name="_Hlk119665910"/>
                  <w:r>
                    <w:rPr>
                      <w:color w:val="000000"/>
                    </w:rPr>
                    <w:t>KS3</w:t>
                  </w:r>
                </w:p>
              </w:tc>
            </w:tr>
            <w:tr w:rsidR="00F92741" w14:paraId="043A9ABF" w14:textId="77777777" w:rsidTr="00F92741">
              <w:tc>
                <w:tcPr>
                  <w:tcW w:w="3089" w:type="dxa"/>
                </w:tcPr>
                <w:p w14:paraId="06D76E9D" w14:textId="77777777" w:rsidR="00F92741" w:rsidRDefault="00F92741" w:rsidP="00F92741">
                  <w:pPr>
                    <w:rPr>
                      <w:color w:val="auto"/>
                      <w:sz w:val="22"/>
                      <w:szCs w:val="22"/>
                    </w:rPr>
                  </w:pPr>
                </w:p>
              </w:tc>
              <w:tc>
                <w:tcPr>
                  <w:tcW w:w="3089" w:type="dxa"/>
                </w:tcPr>
                <w:p w14:paraId="11BB2C65" w14:textId="46356C9F" w:rsidR="00F92741" w:rsidRDefault="00F92741" w:rsidP="00F92741">
                  <w:pPr>
                    <w:rPr>
                      <w:color w:val="auto"/>
                      <w:sz w:val="22"/>
                      <w:szCs w:val="22"/>
                    </w:rPr>
                  </w:pPr>
                  <w:r>
                    <w:rPr>
                      <w:color w:val="auto"/>
                      <w:sz w:val="22"/>
                      <w:szCs w:val="22"/>
                    </w:rPr>
                    <w:t xml:space="preserve">Percentage of Pupil Premium eligible students assessed at this level against their </w:t>
                  </w:r>
                  <w:r w:rsidR="00C52E1E">
                    <w:rPr>
                      <w:color w:val="auto"/>
                      <w:sz w:val="22"/>
                      <w:szCs w:val="22"/>
                    </w:rPr>
                    <w:t xml:space="preserve">HSA </w:t>
                  </w:r>
                  <w:r>
                    <w:rPr>
                      <w:color w:val="auto"/>
                      <w:sz w:val="22"/>
                      <w:szCs w:val="22"/>
                    </w:rPr>
                    <w:t xml:space="preserve">targets </w:t>
                  </w:r>
                </w:p>
              </w:tc>
              <w:tc>
                <w:tcPr>
                  <w:tcW w:w="3089" w:type="dxa"/>
                </w:tcPr>
                <w:p w14:paraId="54A2CA60" w14:textId="5B5D1DA7" w:rsidR="00F92741" w:rsidRDefault="00F92741" w:rsidP="00F92741">
                  <w:pPr>
                    <w:rPr>
                      <w:color w:val="auto"/>
                      <w:sz w:val="22"/>
                      <w:szCs w:val="22"/>
                    </w:rPr>
                  </w:pPr>
                  <w:r>
                    <w:rPr>
                      <w:color w:val="auto"/>
                      <w:sz w:val="22"/>
                      <w:szCs w:val="22"/>
                    </w:rPr>
                    <w:t xml:space="preserve">Non-Pupil Premium eligible students assessed at this level against their </w:t>
                  </w:r>
                  <w:r w:rsidR="00C52E1E">
                    <w:rPr>
                      <w:color w:val="auto"/>
                      <w:sz w:val="22"/>
                      <w:szCs w:val="22"/>
                    </w:rPr>
                    <w:t xml:space="preserve">HAS </w:t>
                  </w:r>
                  <w:r>
                    <w:rPr>
                      <w:color w:val="auto"/>
                      <w:sz w:val="22"/>
                      <w:szCs w:val="22"/>
                    </w:rPr>
                    <w:t>targets</w:t>
                  </w:r>
                </w:p>
              </w:tc>
            </w:tr>
            <w:tr w:rsidR="00F92741" w14:paraId="27C848EE" w14:textId="77777777" w:rsidTr="00F92741">
              <w:tc>
                <w:tcPr>
                  <w:tcW w:w="3089" w:type="dxa"/>
                </w:tcPr>
                <w:p w14:paraId="3CEE59F0" w14:textId="6FE062ED" w:rsidR="00F92741" w:rsidRDefault="00F92741" w:rsidP="00F92741">
                  <w:pPr>
                    <w:rPr>
                      <w:color w:val="auto"/>
                      <w:sz w:val="22"/>
                      <w:szCs w:val="22"/>
                    </w:rPr>
                  </w:pPr>
                  <w:r>
                    <w:rPr>
                      <w:color w:val="auto"/>
                      <w:sz w:val="22"/>
                      <w:szCs w:val="22"/>
                    </w:rPr>
                    <w:t>Exceeding</w:t>
                  </w:r>
                </w:p>
              </w:tc>
              <w:tc>
                <w:tcPr>
                  <w:tcW w:w="3089" w:type="dxa"/>
                </w:tcPr>
                <w:p w14:paraId="1EFD1CBD" w14:textId="4704406A" w:rsidR="00F92741" w:rsidRDefault="00462601" w:rsidP="00F92741">
                  <w:pPr>
                    <w:rPr>
                      <w:color w:val="auto"/>
                      <w:sz w:val="22"/>
                      <w:szCs w:val="22"/>
                    </w:rPr>
                  </w:pPr>
                  <w:r>
                    <w:rPr>
                      <w:color w:val="auto"/>
                      <w:sz w:val="22"/>
                      <w:szCs w:val="22"/>
                    </w:rPr>
                    <w:t>0%</w:t>
                  </w:r>
                </w:p>
              </w:tc>
              <w:tc>
                <w:tcPr>
                  <w:tcW w:w="3089" w:type="dxa"/>
                </w:tcPr>
                <w:p w14:paraId="6F443C40" w14:textId="752DDA45" w:rsidR="00F92741" w:rsidRDefault="00462601" w:rsidP="00F92741">
                  <w:pPr>
                    <w:rPr>
                      <w:color w:val="auto"/>
                      <w:sz w:val="22"/>
                      <w:szCs w:val="22"/>
                    </w:rPr>
                  </w:pPr>
                  <w:r>
                    <w:rPr>
                      <w:color w:val="auto"/>
                      <w:sz w:val="22"/>
                      <w:szCs w:val="22"/>
                    </w:rPr>
                    <w:t>9%</w:t>
                  </w:r>
                </w:p>
              </w:tc>
            </w:tr>
            <w:tr w:rsidR="00F92741" w14:paraId="1C53AC0F" w14:textId="77777777" w:rsidTr="00232D15">
              <w:tc>
                <w:tcPr>
                  <w:tcW w:w="3089" w:type="dxa"/>
                </w:tcPr>
                <w:p w14:paraId="49A298AB" w14:textId="7458F255" w:rsidR="00F92741" w:rsidRDefault="00F92741" w:rsidP="00F92741">
                  <w:pPr>
                    <w:rPr>
                      <w:color w:val="auto"/>
                      <w:sz w:val="22"/>
                      <w:szCs w:val="22"/>
                    </w:rPr>
                  </w:pPr>
                  <w:r>
                    <w:rPr>
                      <w:color w:val="auto"/>
                      <w:sz w:val="22"/>
                      <w:szCs w:val="22"/>
                    </w:rPr>
                    <w:t>Secure</w:t>
                  </w:r>
                </w:p>
              </w:tc>
              <w:tc>
                <w:tcPr>
                  <w:tcW w:w="3089" w:type="dxa"/>
                </w:tcPr>
                <w:p w14:paraId="7DC7B986" w14:textId="52452E46" w:rsidR="00F92741" w:rsidRDefault="00462601" w:rsidP="00F92741">
                  <w:pPr>
                    <w:rPr>
                      <w:color w:val="auto"/>
                      <w:sz w:val="22"/>
                      <w:szCs w:val="22"/>
                    </w:rPr>
                  </w:pPr>
                  <w:r>
                    <w:rPr>
                      <w:color w:val="auto"/>
                      <w:sz w:val="22"/>
                      <w:szCs w:val="22"/>
                    </w:rPr>
                    <w:t>39%</w:t>
                  </w:r>
                </w:p>
              </w:tc>
              <w:tc>
                <w:tcPr>
                  <w:tcW w:w="3089" w:type="dxa"/>
                  <w:vAlign w:val="bottom"/>
                </w:tcPr>
                <w:p w14:paraId="72254EF9" w14:textId="3BBF7284" w:rsidR="00F92741" w:rsidRDefault="00462601" w:rsidP="00F92741">
                  <w:pPr>
                    <w:rPr>
                      <w:color w:val="auto"/>
                      <w:sz w:val="22"/>
                      <w:szCs w:val="22"/>
                    </w:rPr>
                  </w:pPr>
                  <w:r>
                    <w:rPr>
                      <w:color w:val="auto"/>
                      <w:sz w:val="22"/>
                      <w:szCs w:val="22"/>
                    </w:rPr>
                    <w:t>46%</w:t>
                  </w:r>
                </w:p>
              </w:tc>
            </w:tr>
            <w:tr w:rsidR="00F92741" w14:paraId="4AD64084" w14:textId="77777777" w:rsidTr="00F92741">
              <w:tc>
                <w:tcPr>
                  <w:tcW w:w="3089" w:type="dxa"/>
                </w:tcPr>
                <w:p w14:paraId="50FC69D4" w14:textId="5DDC2D00" w:rsidR="00F92741" w:rsidRDefault="00F92741" w:rsidP="00F92741">
                  <w:pPr>
                    <w:rPr>
                      <w:color w:val="auto"/>
                      <w:sz w:val="22"/>
                      <w:szCs w:val="22"/>
                    </w:rPr>
                  </w:pPr>
                  <w:r>
                    <w:rPr>
                      <w:color w:val="auto"/>
                      <w:sz w:val="22"/>
                      <w:szCs w:val="22"/>
                    </w:rPr>
                    <w:t>Developing</w:t>
                  </w:r>
                </w:p>
              </w:tc>
              <w:tc>
                <w:tcPr>
                  <w:tcW w:w="3089" w:type="dxa"/>
                </w:tcPr>
                <w:p w14:paraId="7E74D48F" w14:textId="0FE618AD" w:rsidR="00F92741" w:rsidRDefault="00462601" w:rsidP="00F92741">
                  <w:pPr>
                    <w:rPr>
                      <w:color w:val="auto"/>
                      <w:sz w:val="22"/>
                      <w:szCs w:val="22"/>
                    </w:rPr>
                  </w:pPr>
                  <w:r>
                    <w:rPr>
                      <w:color w:val="auto"/>
                      <w:sz w:val="22"/>
                      <w:szCs w:val="22"/>
                    </w:rPr>
                    <w:t>37%</w:t>
                  </w:r>
                </w:p>
              </w:tc>
              <w:tc>
                <w:tcPr>
                  <w:tcW w:w="3089" w:type="dxa"/>
                </w:tcPr>
                <w:p w14:paraId="630B7D64" w14:textId="1F78EBFD" w:rsidR="00F92741" w:rsidRDefault="00462601" w:rsidP="00F92741">
                  <w:pPr>
                    <w:rPr>
                      <w:color w:val="auto"/>
                      <w:sz w:val="22"/>
                      <w:szCs w:val="22"/>
                    </w:rPr>
                  </w:pPr>
                  <w:r>
                    <w:rPr>
                      <w:color w:val="auto"/>
                      <w:sz w:val="22"/>
                      <w:szCs w:val="22"/>
                    </w:rPr>
                    <w:t>35%</w:t>
                  </w:r>
                </w:p>
              </w:tc>
            </w:tr>
            <w:tr w:rsidR="00F92741" w14:paraId="66D75298" w14:textId="77777777" w:rsidTr="00F92741">
              <w:tc>
                <w:tcPr>
                  <w:tcW w:w="3089" w:type="dxa"/>
                </w:tcPr>
                <w:p w14:paraId="1875E3F8" w14:textId="4F800AE4" w:rsidR="00F92741" w:rsidRDefault="00F92741" w:rsidP="00F92741">
                  <w:pPr>
                    <w:rPr>
                      <w:color w:val="auto"/>
                      <w:sz w:val="22"/>
                      <w:szCs w:val="22"/>
                    </w:rPr>
                  </w:pPr>
                  <w:r>
                    <w:rPr>
                      <w:color w:val="auto"/>
                      <w:sz w:val="22"/>
                      <w:szCs w:val="22"/>
                    </w:rPr>
                    <w:t>Emerging</w:t>
                  </w:r>
                </w:p>
              </w:tc>
              <w:tc>
                <w:tcPr>
                  <w:tcW w:w="3089" w:type="dxa"/>
                </w:tcPr>
                <w:p w14:paraId="7DB756AA" w14:textId="77FA318B" w:rsidR="00F92741" w:rsidRDefault="00462601" w:rsidP="00F92741">
                  <w:pPr>
                    <w:rPr>
                      <w:color w:val="auto"/>
                      <w:sz w:val="22"/>
                      <w:szCs w:val="22"/>
                    </w:rPr>
                  </w:pPr>
                  <w:r>
                    <w:rPr>
                      <w:color w:val="auto"/>
                      <w:sz w:val="22"/>
                      <w:szCs w:val="22"/>
                    </w:rPr>
                    <w:t>3%</w:t>
                  </w:r>
                </w:p>
              </w:tc>
              <w:tc>
                <w:tcPr>
                  <w:tcW w:w="3089" w:type="dxa"/>
                </w:tcPr>
                <w:p w14:paraId="7D84B316" w14:textId="32003D64" w:rsidR="00F92741" w:rsidRDefault="00462601" w:rsidP="00F92741">
                  <w:pPr>
                    <w:rPr>
                      <w:color w:val="auto"/>
                      <w:sz w:val="22"/>
                      <w:szCs w:val="22"/>
                    </w:rPr>
                  </w:pPr>
                  <w:r>
                    <w:rPr>
                      <w:color w:val="auto"/>
                      <w:sz w:val="22"/>
                      <w:szCs w:val="22"/>
                    </w:rPr>
                    <w:t>10%</w:t>
                  </w:r>
                </w:p>
              </w:tc>
            </w:tr>
            <w:bookmarkEnd w:id="17"/>
          </w:tbl>
          <w:p w14:paraId="0D2DB174" w14:textId="3310DFB1" w:rsidR="00F92741" w:rsidRDefault="00F92741" w:rsidP="00F92741">
            <w:pPr>
              <w:rPr>
                <w:color w:val="auto"/>
                <w:sz w:val="22"/>
                <w:szCs w:val="22"/>
              </w:rPr>
            </w:pPr>
          </w:p>
          <w:tbl>
            <w:tblPr>
              <w:tblStyle w:val="TableGrid"/>
              <w:tblW w:w="0" w:type="auto"/>
              <w:tblLook w:val="04A0" w:firstRow="1" w:lastRow="0" w:firstColumn="1" w:lastColumn="0" w:noHBand="0" w:noVBand="1"/>
            </w:tblPr>
            <w:tblGrid>
              <w:gridCol w:w="3089"/>
              <w:gridCol w:w="3089"/>
              <w:gridCol w:w="3089"/>
            </w:tblGrid>
            <w:tr w:rsidR="00F92741" w14:paraId="68D07C8E" w14:textId="77777777" w:rsidTr="00F03B5C">
              <w:tc>
                <w:tcPr>
                  <w:tcW w:w="9267" w:type="dxa"/>
                  <w:gridSpan w:val="3"/>
                </w:tcPr>
                <w:p w14:paraId="4D0C3816" w14:textId="44D8888C" w:rsidR="00F92741" w:rsidRDefault="00F92741" w:rsidP="00F92741">
                  <w:pPr>
                    <w:jc w:val="center"/>
                    <w:rPr>
                      <w:color w:val="auto"/>
                      <w:sz w:val="22"/>
                      <w:szCs w:val="22"/>
                    </w:rPr>
                  </w:pPr>
                  <w:r>
                    <w:rPr>
                      <w:color w:val="000000"/>
                    </w:rPr>
                    <w:t>KS4</w:t>
                  </w:r>
                </w:p>
              </w:tc>
            </w:tr>
            <w:tr w:rsidR="00F92741" w14:paraId="419D6F52" w14:textId="77777777" w:rsidTr="00F03B5C">
              <w:tc>
                <w:tcPr>
                  <w:tcW w:w="3089" w:type="dxa"/>
                </w:tcPr>
                <w:p w14:paraId="21474840" w14:textId="77777777" w:rsidR="00F92741" w:rsidRDefault="00F92741" w:rsidP="00F92741">
                  <w:pPr>
                    <w:rPr>
                      <w:color w:val="auto"/>
                      <w:sz w:val="22"/>
                      <w:szCs w:val="22"/>
                    </w:rPr>
                  </w:pPr>
                </w:p>
              </w:tc>
              <w:tc>
                <w:tcPr>
                  <w:tcW w:w="3089" w:type="dxa"/>
                </w:tcPr>
                <w:p w14:paraId="46AB91F9" w14:textId="5AC95C84" w:rsidR="00F92741" w:rsidRDefault="00F92741" w:rsidP="00F92741">
                  <w:pPr>
                    <w:rPr>
                      <w:color w:val="auto"/>
                      <w:sz w:val="22"/>
                      <w:szCs w:val="22"/>
                    </w:rPr>
                  </w:pPr>
                  <w:r>
                    <w:rPr>
                      <w:color w:val="auto"/>
                      <w:sz w:val="22"/>
                      <w:szCs w:val="22"/>
                    </w:rPr>
                    <w:t xml:space="preserve">Percentage of Pupil Premium eligible students assessed at this level against their </w:t>
                  </w:r>
                  <w:r w:rsidR="00C52E1E">
                    <w:rPr>
                      <w:color w:val="auto"/>
                      <w:sz w:val="22"/>
                      <w:szCs w:val="22"/>
                    </w:rPr>
                    <w:t xml:space="preserve">HSA </w:t>
                  </w:r>
                  <w:r>
                    <w:rPr>
                      <w:color w:val="auto"/>
                      <w:sz w:val="22"/>
                      <w:szCs w:val="22"/>
                    </w:rPr>
                    <w:t xml:space="preserve">targets </w:t>
                  </w:r>
                </w:p>
              </w:tc>
              <w:tc>
                <w:tcPr>
                  <w:tcW w:w="3089" w:type="dxa"/>
                </w:tcPr>
                <w:p w14:paraId="3F0BC550" w14:textId="6E13A13A" w:rsidR="00F92741" w:rsidRDefault="00F92741" w:rsidP="00F92741">
                  <w:pPr>
                    <w:rPr>
                      <w:color w:val="auto"/>
                      <w:sz w:val="22"/>
                      <w:szCs w:val="22"/>
                    </w:rPr>
                  </w:pPr>
                  <w:r>
                    <w:rPr>
                      <w:color w:val="auto"/>
                      <w:sz w:val="22"/>
                      <w:szCs w:val="22"/>
                    </w:rPr>
                    <w:t>Non-Pupil Premium eligible students assessed at this level against their</w:t>
                  </w:r>
                  <w:r w:rsidR="00C52E1E">
                    <w:rPr>
                      <w:color w:val="auto"/>
                      <w:sz w:val="22"/>
                      <w:szCs w:val="22"/>
                    </w:rPr>
                    <w:t xml:space="preserve"> HSA</w:t>
                  </w:r>
                  <w:r>
                    <w:rPr>
                      <w:color w:val="auto"/>
                      <w:sz w:val="22"/>
                      <w:szCs w:val="22"/>
                    </w:rPr>
                    <w:t xml:space="preserve"> targets</w:t>
                  </w:r>
                </w:p>
              </w:tc>
            </w:tr>
            <w:tr w:rsidR="00F92741" w14:paraId="2F375CD2" w14:textId="77777777" w:rsidTr="00F03B5C">
              <w:tc>
                <w:tcPr>
                  <w:tcW w:w="3089" w:type="dxa"/>
                </w:tcPr>
                <w:p w14:paraId="4FC46DC9" w14:textId="77777777" w:rsidR="00F92741" w:rsidRDefault="00F92741" w:rsidP="00F92741">
                  <w:pPr>
                    <w:rPr>
                      <w:color w:val="auto"/>
                      <w:sz w:val="22"/>
                      <w:szCs w:val="22"/>
                    </w:rPr>
                  </w:pPr>
                  <w:r>
                    <w:rPr>
                      <w:color w:val="auto"/>
                      <w:sz w:val="22"/>
                      <w:szCs w:val="22"/>
                    </w:rPr>
                    <w:t>Exceeding</w:t>
                  </w:r>
                </w:p>
              </w:tc>
              <w:tc>
                <w:tcPr>
                  <w:tcW w:w="3089" w:type="dxa"/>
                </w:tcPr>
                <w:p w14:paraId="3DB49F6C" w14:textId="14E7BFB2" w:rsidR="00F92741" w:rsidRDefault="00462601" w:rsidP="00F92741">
                  <w:pPr>
                    <w:rPr>
                      <w:color w:val="auto"/>
                      <w:sz w:val="22"/>
                      <w:szCs w:val="22"/>
                    </w:rPr>
                  </w:pPr>
                  <w:r>
                    <w:rPr>
                      <w:color w:val="auto"/>
                      <w:sz w:val="22"/>
                      <w:szCs w:val="22"/>
                    </w:rPr>
                    <w:t>15%</w:t>
                  </w:r>
                </w:p>
              </w:tc>
              <w:tc>
                <w:tcPr>
                  <w:tcW w:w="3089" w:type="dxa"/>
                </w:tcPr>
                <w:p w14:paraId="5554BF2F" w14:textId="140ACC41" w:rsidR="00F92741" w:rsidRDefault="00462601" w:rsidP="00F92741">
                  <w:pPr>
                    <w:rPr>
                      <w:color w:val="auto"/>
                      <w:sz w:val="22"/>
                      <w:szCs w:val="22"/>
                    </w:rPr>
                  </w:pPr>
                  <w:r>
                    <w:rPr>
                      <w:color w:val="auto"/>
                      <w:sz w:val="22"/>
                      <w:szCs w:val="22"/>
                    </w:rPr>
                    <w:t>7%</w:t>
                  </w:r>
                </w:p>
              </w:tc>
            </w:tr>
            <w:tr w:rsidR="00F92741" w14:paraId="05EFE2B1" w14:textId="77777777" w:rsidTr="00F03B5C">
              <w:tc>
                <w:tcPr>
                  <w:tcW w:w="3089" w:type="dxa"/>
                </w:tcPr>
                <w:p w14:paraId="79F0A998" w14:textId="77777777" w:rsidR="00F92741" w:rsidRDefault="00F92741" w:rsidP="00F92741">
                  <w:pPr>
                    <w:rPr>
                      <w:color w:val="auto"/>
                      <w:sz w:val="22"/>
                      <w:szCs w:val="22"/>
                    </w:rPr>
                  </w:pPr>
                  <w:r>
                    <w:rPr>
                      <w:color w:val="auto"/>
                      <w:sz w:val="22"/>
                      <w:szCs w:val="22"/>
                    </w:rPr>
                    <w:t>Secure</w:t>
                  </w:r>
                </w:p>
              </w:tc>
              <w:tc>
                <w:tcPr>
                  <w:tcW w:w="3089" w:type="dxa"/>
                </w:tcPr>
                <w:p w14:paraId="20A72D19" w14:textId="0CC27783" w:rsidR="00F92741" w:rsidRDefault="00462601" w:rsidP="00F92741">
                  <w:pPr>
                    <w:rPr>
                      <w:color w:val="auto"/>
                      <w:sz w:val="22"/>
                      <w:szCs w:val="22"/>
                    </w:rPr>
                  </w:pPr>
                  <w:r>
                    <w:rPr>
                      <w:color w:val="auto"/>
                      <w:sz w:val="22"/>
                      <w:szCs w:val="22"/>
                    </w:rPr>
                    <w:t>32%</w:t>
                  </w:r>
                </w:p>
              </w:tc>
              <w:tc>
                <w:tcPr>
                  <w:tcW w:w="3089" w:type="dxa"/>
                  <w:vAlign w:val="bottom"/>
                </w:tcPr>
                <w:p w14:paraId="4879DBBE" w14:textId="72C369C5" w:rsidR="00F92741" w:rsidRDefault="00462601" w:rsidP="00F92741">
                  <w:pPr>
                    <w:rPr>
                      <w:color w:val="auto"/>
                      <w:sz w:val="22"/>
                      <w:szCs w:val="22"/>
                    </w:rPr>
                  </w:pPr>
                  <w:r>
                    <w:rPr>
                      <w:color w:val="auto"/>
                      <w:sz w:val="22"/>
                      <w:szCs w:val="22"/>
                    </w:rPr>
                    <w:t>38%</w:t>
                  </w:r>
                </w:p>
              </w:tc>
            </w:tr>
            <w:tr w:rsidR="00F92741" w14:paraId="2814E02F" w14:textId="77777777" w:rsidTr="00F03B5C">
              <w:tc>
                <w:tcPr>
                  <w:tcW w:w="3089" w:type="dxa"/>
                </w:tcPr>
                <w:p w14:paraId="5ED84B88" w14:textId="77777777" w:rsidR="00F92741" w:rsidRDefault="00F92741" w:rsidP="00F92741">
                  <w:pPr>
                    <w:rPr>
                      <w:color w:val="auto"/>
                      <w:sz w:val="22"/>
                      <w:szCs w:val="22"/>
                    </w:rPr>
                  </w:pPr>
                  <w:r>
                    <w:rPr>
                      <w:color w:val="auto"/>
                      <w:sz w:val="22"/>
                      <w:szCs w:val="22"/>
                    </w:rPr>
                    <w:t>Developing</w:t>
                  </w:r>
                </w:p>
              </w:tc>
              <w:tc>
                <w:tcPr>
                  <w:tcW w:w="3089" w:type="dxa"/>
                </w:tcPr>
                <w:p w14:paraId="2AD69931" w14:textId="5AA8CC36" w:rsidR="00F92741" w:rsidRDefault="00462601" w:rsidP="00F92741">
                  <w:pPr>
                    <w:rPr>
                      <w:color w:val="auto"/>
                      <w:sz w:val="22"/>
                      <w:szCs w:val="22"/>
                    </w:rPr>
                  </w:pPr>
                  <w:r>
                    <w:rPr>
                      <w:color w:val="auto"/>
                      <w:sz w:val="22"/>
                      <w:szCs w:val="22"/>
                    </w:rPr>
                    <w:t>51%</w:t>
                  </w:r>
                </w:p>
              </w:tc>
              <w:tc>
                <w:tcPr>
                  <w:tcW w:w="3089" w:type="dxa"/>
                </w:tcPr>
                <w:p w14:paraId="05BFBF27" w14:textId="6025B2E5" w:rsidR="00F92741" w:rsidRDefault="00462601" w:rsidP="00F92741">
                  <w:pPr>
                    <w:rPr>
                      <w:color w:val="auto"/>
                      <w:sz w:val="22"/>
                      <w:szCs w:val="22"/>
                    </w:rPr>
                  </w:pPr>
                  <w:r>
                    <w:rPr>
                      <w:color w:val="auto"/>
                      <w:sz w:val="22"/>
                      <w:szCs w:val="22"/>
                    </w:rPr>
                    <w:t>49%</w:t>
                  </w:r>
                </w:p>
              </w:tc>
            </w:tr>
            <w:tr w:rsidR="00F92741" w14:paraId="654D2830" w14:textId="77777777" w:rsidTr="00F03B5C">
              <w:tc>
                <w:tcPr>
                  <w:tcW w:w="3089" w:type="dxa"/>
                </w:tcPr>
                <w:p w14:paraId="43E93A93" w14:textId="77777777" w:rsidR="00F92741" w:rsidRDefault="00F92741" w:rsidP="00F92741">
                  <w:pPr>
                    <w:rPr>
                      <w:color w:val="auto"/>
                      <w:sz w:val="22"/>
                      <w:szCs w:val="22"/>
                    </w:rPr>
                  </w:pPr>
                  <w:r>
                    <w:rPr>
                      <w:color w:val="auto"/>
                      <w:sz w:val="22"/>
                      <w:szCs w:val="22"/>
                    </w:rPr>
                    <w:t>Emerging</w:t>
                  </w:r>
                </w:p>
              </w:tc>
              <w:tc>
                <w:tcPr>
                  <w:tcW w:w="3089" w:type="dxa"/>
                </w:tcPr>
                <w:p w14:paraId="6578E886" w14:textId="135E3CBC" w:rsidR="00F92741" w:rsidRDefault="00462601" w:rsidP="00F92741">
                  <w:pPr>
                    <w:rPr>
                      <w:color w:val="auto"/>
                      <w:sz w:val="22"/>
                      <w:szCs w:val="22"/>
                    </w:rPr>
                  </w:pPr>
                  <w:r>
                    <w:rPr>
                      <w:color w:val="auto"/>
                      <w:sz w:val="22"/>
                      <w:szCs w:val="22"/>
                    </w:rPr>
                    <w:t>2%</w:t>
                  </w:r>
                </w:p>
              </w:tc>
              <w:tc>
                <w:tcPr>
                  <w:tcW w:w="3089" w:type="dxa"/>
                </w:tcPr>
                <w:p w14:paraId="6A7D55B0" w14:textId="1EAEC1E3" w:rsidR="00F92741" w:rsidRDefault="00462601" w:rsidP="00F92741">
                  <w:pPr>
                    <w:rPr>
                      <w:color w:val="auto"/>
                      <w:sz w:val="22"/>
                      <w:szCs w:val="22"/>
                    </w:rPr>
                  </w:pPr>
                  <w:r>
                    <w:rPr>
                      <w:color w:val="auto"/>
                      <w:sz w:val="22"/>
                      <w:szCs w:val="22"/>
                    </w:rPr>
                    <w:t>6%</w:t>
                  </w:r>
                  <w:bookmarkStart w:id="18" w:name="_GoBack"/>
                  <w:bookmarkEnd w:id="18"/>
                </w:p>
              </w:tc>
            </w:tr>
          </w:tbl>
          <w:p w14:paraId="29625953" w14:textId="77777777" w:rsidR="00F92741" w:rsidRDefault="00F92741" w:rsidP="00F92741">
            <w:pPr>
              <w:rPr>
                <w:color w:val="auto"/>
                <w:sz w:val="22"/>
                <w:szCs w:val="22"/>
              </w:rPr>
            </w:pPr>
          </w:p>
          <w:p w14:paraId="33BB8134" w14:textId="77777777" w:rsidR="00F92741" w:rsidRDefault="00F92741" w:rsidP="00F92741"/>
          <w:p w14:paraId="3B587119" w14:textId="0C9F49F3" w:rsidR="00F92741" w:rsidRDefault="00F92741" w:rsidP="00F92741">
            <w:r>
              <w:t xml:space="preserve">Data from tests and assessments suggest that there is little gap between PP and </w:t>
            </w:r>
            <w:r w:rsidR="00C52E1E">
              <w:t>non-PP</w:t>
            </w:r>
            <w:r>
              <w:t xml:space="preserve"> students in their home school agreement targets. </w:t>
            </w:r>
          </w:p>
          <w:p w14:paraId="13ADCBB3" w14:textId="77777777" w:rsidR="00BF415C" w:rsidRPr="00D81B6A" w:rsidRDefault="00BF415C" w:rsidP="00BF415C">
            <w:pPr>
              <w:spacing w:before="60"/>
              <w:rPr>
                <w:iCs/>
                <w:lang w:eastAsia="en-US"/>
              </w:rPr>
            </w:pPr>
          </w:p>
          <w:p w14:paraId="29BE1CF1" w14:textId="77777777" w:rsidR="007A57A4" w:rsidRPr="00D81B6A" w:rsidRDefault="007A57A4" w:rsidP="001671ED">
            <w:pPr>
              <w:spacing w:before="60"/>
              <w:rPr>
                <w:b/>
                <w:iCs/>
                <w:lang w:eastAsia="en-US"/>
              </w:rPr>
            </w:pPr>
          </w:p>
          <w:p w14:paraId="5023926C" w14:textId="0486D3EA" w:rsidR="00173D4C" w:rsidRDefault="00173D4C" w:rsidP="00EB09BC"/>
        </w:tc>
      </w:tr>
    </w:tbl>
    <w:p w14:paraId="188578FB" w14:textId="537EFB51" w:rsidR="0008384B" w:rsidRDefault="0008384B" w:rsidP="0008384B"/>
    <w:p w14:paraId="497C2CDD" w14:textId="3BD1FD57" w:rsidR="0008384B" w:rsidRDefault="0008384B" w:rsidP="0008384B"/>
    <w:p w14:paraId="01F0D165" w14:textId="1FC4C866" w:rsidR="0008384B" w:rsidRDefault="0008384B" w:rsidP="0008384B"/>
    <w:p w14:paraId="2A7D555F" w14:textId="77777777" w:rsidR="00E66558" w:rsidRDefault="00E66558">
      <w:pPr>
        <w:spacing w:after="0" w:line="240" w:lineRule="auto"/>
      </w:pPr>
    </w:p>
    <w:p w14:paraId="2A7D5560" w14:textId="77777777" w:rsidR="00E66558" w:rsidRDefault="009D71E8">
      <w:pPr>
        <w:pStyle w:val="Heading1"/>
      </w:pPr>
      <w:r>
        <w:lastRenderedPageBreak/>
        <w:t>Further information (optional)</w:t>
      </w:r>
    </w:p>
    <w:tbl>
      <w:tblPr>
        <w:tblW w:w="9486" w:type="dxa"/>
        <w:tblCellMar>
          <w:left w:w="10" w:type="dxa"/>
          <w:right w:w="10" w:type="dxa"/>
        </w:tblCellMar>
        <w:tblLook w:val="04A0" w:firstRow="1" w:lastRow="0" w:firstColumn="1" w:lastColumn="0" w:noHBand="0" w:noVBand="1"/>
      </w:tblPr>
      <w:tblGrid>
        <w:gridCol w:w="9486"/>
      </w:tblGrid>
      <w:tr w:rsidR="00E66558" w14:paraId="2A7D5563"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8CF5BE" w14:textId="77777777" w:rsidR="00222579" w:rsidRPr="00222579" w:rsidRDefault="00222579" w:rsidP="00222579">
            <w:pPr>
              <w:spacing w:before="120" w:after="120"/>
              <w:rPr>
                <w:rFonts w:cs="Arial"/>
                <w:b/>
                <w:iCs/>
              </w:rPr>
            </w:pPr>
            <w:r w:rsidRPr="00222579">
              <w:rPr>
                <w:rFonts w:cs="Arial"/>
                <w:b/>
                <w:iCs/>
              </w:rPr>
              <w:t>Additional activity</w:t>
            </w:r>
          </w:p>
          <w:p w14:paraId="12B808AA" w14:textId="619F0157" w:rsidR="00222579" w:rsidRPr="00222579" w:rsidRDefault="00222579" w:rsidP="00222579">
            <w:pPr>
              <w:spacing w:before="120" w:after="120"/>
              <w:rPr>
                <w:rFonts w:cs="Arial"/>
                <w:iCs/>
              </w:rPr>
            </w:pPr>
            <w:r w:rsidRPr="00222579">
              <w:rPr>
                <w:rFonts w:cs="Arial"/>
                <w:iCs/>
              </w:rPr>
              <w:t xml:space="preserve">Our pupil premium strategy will be supplemented by additional activity that we are not funding using pupil premium or recovery premium. That will include: </w:t>
            </w:r>
          </w:p>
          <w:p w14:paraId="17351D47" w14:textId="6C1B26E0" w:rsidR="00222579" w:rsidRPr="00222579" w:rsidRDefault="00222579" w:rsidP="00222579">
            <w:pPr>
              <w:spacing w:before="120" w:after="120"/>
              <w:rPr>
                <w:rFonts w:cs="Arial"/>
                <w:iCs/>
              </w:rPr>
            </w:pPr>
            <w:r w:rsidRPr="00222579">
              <w:rPr>
                <w:rFonts w:cs="Arial"/>
                <w:iCs/>
              </w:rPr>
              <w:t>• Working in partnership with local colleges to provide opportunities such as taster</w:t>
            </w:r>
            <w:r>
              <w:rPr>
                <w:rFonts w:cs="Arial"/>
                <w:iCs/>
              </w:rPr>
              <w:t xml:space="preserve"> </w:t>
            </w:r>
            <w:r w:rsidRPr="00222579">
              <w:rPr>
                <w:rFonts w:cs="Arial"/>
                <w:iCs/>
              </w:rPr>
              <w:t>courses, link programmes and mentoring to enable young people with SEN to</w:t>
            </w:r>
            <w:r>
              <w:rPr>
                <w:rFonts w:cs="Arial"/>
                <w:iCs/>
              </w:rPr>
              <w:t xml:space="preserve"> </w:t>
            </w:r>
            <w:r w:rsidRPr="00222579">
              <w:rPr>
                <w:rFonts w:cs="Arial"/>
                <w:iCs/>
              </w:rPr>
              <w:t>familiarise themselves with the college environment and gain some experience of college life and study.</w:t>
            </w:r>
          </w:p>
          <w:p w14:paraId="7CF738F5" w14:textId="68AF6293" w:rsidR="00222579" w:rsidRPr="00222579" w:rsidRDefault="00222579" w:rsidP="00222579">
            <w:pPr>
              <w:spacing w:before="120" w:after="120"/>
              <w:rPr>
                <w:rFonts w:cs="Arial"/>
                <w:iCs/>
              </w:rPr>
            </w:pPr>
            <w:r w:rsidRPr="00222579">
              <w:rPr>
                <w:rFonts w:cs="Arial"/>
                <w:iCs/>
              </w:rPr>
              <w:t>• Arranging work-based learning that enables pupils to have first-hand experience of work, such as apprenticeships, traineeships, and supported internships.</w:t>
            </w:r>
          </w:p>
          <w:p w14:paraId="33510AB6" w14:textId="77777777" w:rsidR="00222579" w:rsidRPr="00222579" w:rsidRDefault="00222579" w:rsidP="00222579">
            <w:pPr>
              <w:spacing w:before="120" w:after="120"/>
              <w:rPr>
                <w:rFonts w:cs="Arial"/>
                <w:b/>
                <w:iCs/>
              </w:rPr>
            </w:pPr>
            <w:r w:rsidRPr="00222579">
              <w:rPr>
                <w:rFonts w:cs="Arial"/>
                <w:b/>
                <w:iCs/>
              </w:rPr>
              <w:t>Planning, implementation and evaluation</w:t>
            </w:r>
          </w:p>
          <w:p w14:paraId="731E4C84" w14:textId="77777777" w:rsidR="00222579" w:rsidRDefault="00222579" w:rsidP="00222579">
            <w:pPr>
              <w:spacing w:before="120" w:after="120"/>
              <w:rPr>
                <w:rFonts w:cs="Arial"/>
                <w:iCs/>
              </w:rPr>
            </w:pPr>
            <w:r w:rsidRPr="00222579">
              <w:rPr>
                <w:rFonts w:cs="Arial"/>
                <w:iCs/>
              </w:rPr>
              <w:t>In planning our new pupil premium strategy, we evaluated why activity undertaken in previous years had not had the degree of impact that we had expected. We used the EEF’s families of school’s database to look at the performance of disadvantaged pupils in school like ours. We contacted schools with particularly positive outcomes for disadvantaged pupils to learn from their approach.</w:t>
            </w:r>
          </w:p>
          <w:p w14:paraId="5D7C791C" w14:textId="00B42983" w:rsidR="00222579" w:rsidRPr="00222579" w:rsidRDefault="00222579" w:rsidP="00222579">
            <w:pPr>
              <w:spacing w:before="120" w:after="120"/>
              <w:rPr>
                <w:rFonts w:cs="Arial"/>
                <w:iCs/>
              </w:rPr>
            </w:pPr>
            <w:r w:rsidRPr="00222579">
              <w:rPr>
                <w:rFonts w:cs="Arial"/>
                <w:iCs/>
              </w:rPr>
              <w:t xml:space="preserve">We looked at several reports, studies and research papers about effective use of Pupil Premium and the intersection between socio-economic disadvantage and SEND. We also looked at a number of studies about the impact of the pandemic on disadvantaged learners. The pandemic has also given us deeper insights into family life for those from disadvantaged backgrounds and we have been able to forge stronger relationships with parents/guardians as a result. </w:t>
            </w:r>
          </w:p>
          <w:p w14:paraId="166BBDEF" w14:textId="34A8F19B" w:rsidR="00222579" w:rsidRPr="00222579" w:rsidRDefault="00222579" w:rsidP="00222579">
            <w:pPr>
              <w:spacing w:before="120" w:after="120"/>
              <w:rPr>
                <w:rFonts w:cs="Arial"/>
                <w:iCs/>
              </w:rPr>
            </w:pPr>
            <w:r w:rsidRPr="00222579">
              <w:rPr>
                <w:rFonts w:cs="Arial"/>
                <w:iCs/>
              </w:rPr>
              <w:t>In addition to the pupil premium funded activity outlined above, we have put in place stronger expectations around areas of effective practice, notably feedback given the impact of this identified by the EEF Toolkit. We have also put a sharp focus on</w:t>
            </w:r>
            <w:r>
              <w:rPr>
                <w:rFonts w:cs="Arial"/>
                <w:iCs/>
              </w:rPr>
              <w:t xml:space="preserve"> </w:t>
            </w:r>
            <w:r w:rsidRPr="00222579">
              <w:rPr>
                <w:rFonts w:cs="Arial"/>
                <w:iCs/>
              </w:rPr>
              <w:t>supporting teachers to develop their professional practice and train in specialist areas, allowing them to develop expertise and share them with other staff.</w:t>
            </w:r>
          </w:p>
          <w:p w14:paraId="2A7D5562" w14:textId="33ABCF2E" w:rsidR="00E66558" w:rsidRPr="00222579" w:rsidRDefault="00222579" w:rsidP="00222579">
            <w:pPr>
              <w:spacing w:before="120" w:after="120"/>
              <w:rPr>
                <w:rFonts w:cs="Arial"/>
                <w:iCs/>
              </w:rPr>
            </w:pPr>
            <w:r w:rsidRPr="00222579">
              <w:rPr>
                <w:rFonts w:cs="Arial"/>
                <w:iCs/>
              </w:rPr>
              <w:t>We have used the EEF’s implementation guidance to set out our plans and put in place a robust evaluation framework for the duration of our three-year approach. This will help us to make adjustments and quality improvement to secure better outcomes for pupils over time</w:t>
            </w:r>
          </w:p>
        </w:tc>
      </w:tr>
      <w:bookmarkEnd w:id="14"/>
      <w:bookmarkEnd w:id="15"/>
      <w:bookmarkEnd w:id="16"/>
    </w:tbl>
    <w:p w14:paraId="2A7D5564" w14:textId="77777777" w:rsidR="00E66558" w:rsidRDefault="00E66558"/>
    <w:sectPr w:rsidR="00E66558">
      <w:headerReference w:type="default" r:id="rId7"/>
      <w:footerReference w:type="default" r:id="rId8"/>
      <w:pgSz w:w="11906" w:h="16838"/>
      <w:pgMar w:top="1134" w:right="1276" w:bottom="1134"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787C5B" w14:textId="77777777" w:rsidR="00C12746" w:rsidRDefault="00C12746">
      <w:pPr>
        <w:spacing w:after="0" w:line="240" w:lineRule="auto"/>
      </w:pPr>
      <w:r>
        <w:separator/>
      </w:r>
    </w:p>
  </w:endnote>
  <w:endnote w:type="continuationSeparator" w:id="0">
    <w:p w14:paraId="3D0B605C" w14:textId="77777777" w:rsidR="00C12746" w:rsidRDefault="00C12746">
      <w:pPr>
        <w:spacing w:after="0" w:line="240" w:lineRule="auto"/>
      </w:pPr>
      <w:r>
        <w:continuationSeparator/>
      </w:r>
    </w:p>
  </w:endnote>
  <w:endnote w:type="continuationNotice" w:id="1">
    <w:p w14:paraId="5937F05E" w14:textId="77777777" w:rsidR="00C12746" w:rsidRDefault="00C1274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C373EA" w:rsidRDefault="009D71E8">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CDFE4" w14:textId="77777777" w:rsidR="00C12746" w:rsidRDefault="00C12746">
      <w:pPr>
        <w:spacing w:after="0" w:line="240" w:lineRule="auto"/>
      </w:pPr>
      <w:r>
        <w:separator/>
      </w:r>
    </w:p>
  </w:footnote>
  <w:footnote w:type="continuationSeparator" w:id="0">
    <w:p w14:paraId="527955F0" w14:textId="77777777" w:rsidR="00C12746" w:rsidRDefault="00C12746">
      <w:pPr>
        <w:spacing w:after="0" w:line="240" w:lineRule="auto"/>
      </w:pPr>
      <w:r>
        <w:continuationSeparator/>
      </w:r>
    </w:p>
  </w:footnote>
  <w:footnote w:type="continuationNotice" w:id="1">
    <w:p w14:paraId="7C8694AF" w14:textId="77777777" w:rsidR="00C12746" w:rsidRDefault="00C1274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C373EA" w:rsidRDefault="00C373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5"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0"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1"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2"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7A3934D4"/>
    <w:multiLevelType w:val="hybridMultilevel"/>
    <w:tmpl w:val="C7EE9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5"/>
  </w:num>
  <w:num w:numId="5">
    <w:abstractNumId w:val="0"/>
  </w:num>
  <w:num w:numId="6">
    <w:abstractNumId w:val="6"/>
  </w:num>
  <w:num w:numId="7">
    <w:abstractNumId w:val="8"/>
  </w:num>
  <w:num w:numId="8">
    <w:abstractNumId w:val="12"/>
  </w:num>
  <w:num w:numId="9">
    <w:abstractNumId w:val="10"/>
  </w:num>
  <w:num w:numId="10">
    <w:abstractNumId w:val="9"/>
  </w:num>
  <w:num w:numId="11">
    <w:abstractNumId w:val="2"/>
  </w:num>
  <w:num w:numId="12">
    <w:abstractNumId w:val="11"/>
  </w:num>
  <w:num w:numId="13">
    <w:abstractNumId w:val="7"/>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1B30"/>
    <w:rsid w:val="00003A45"/>
    <w:rsid w:val="00023729"/>
    <w:rsid w:val="000243B4"/>
    <w:rsid w:val="00043837"/>
    <w:rsid w:val="000452EB"/>
    <w:rsid w:val="000463AE"/>
    <w:rsid w:val="000507A3"/>
    <w:rsid w:val="00060A62"/>
    <w:rsid w:val="00064366"/>
    <w:rsid w:val="00066B73"/>
    <w:rsid w:val="00071481"/>
    <w:rsid w:val="00075FAE"/>
    <w:rsid w:val="00080184"/>
    <w:rsid w:val="00082F38"/>
    <w:rsid w:val="0008384B"/>
    <w:rsid w:val="000929EC"/>
    <w:rsid w:val="00093CDE"/>
    <w:rsid w:val="00096C67"/>
    <w:rsid w:val="000A6379"/>
    <w:rsid w:val="000D22B0"/>
    <w:rsid w:val="000D35C9"/>
    <w:rsid w:val="000D520C"/>
    <w:rsid w:val="000D6596"/>
    <w:rsid w:val="000E6DF0"/>
    <w:rsid w:val="001037CB"/>
    <w:rsid w:val="0010629E"/>
    <w:rsid w:val="00115538"/>
    <w:rsid w:val="00120AB1"/>
    <w:rsid w:val="00123A7F"/>
    <w:rsid w:val="001278D0"/>
    <w:rsid w:val="00127F72"/>
    <w:rsid w:val="00140646"/>
    <w:rsid w:val="00147A4B"/>
    <w:rsid w:val="00150AE8"/>
    <w:rsid w:val="001671ED"/>
    <w:rsid w:val="001727FA"/>
    <w:rsid w:val="00173D4C"/>
    <w:rsid w:val="00183218"/>
    <w:rsid w:val="00185988"/>
    <w:rsid w:val="001873B6"/>
    <w:rsid w:val="001901E6"/>
    <w:rsid w:val="00191305"/>
    <w:rsid w:val="00195B55"/>
    <w:rsid w:val="001A2FE8"/>
    <w:rsid w:val="001A33AC"/>
    <w:rsid w:val="001A61A7"/>
    <w:rsid w:val="001C1C51"/>
    <w:rsid w:val="001C68C0"/>
    <w:rsid w:val="001E0ECA"/>
    <w:rsid w:val="001E206F"/>
    <w:rsid w:val="001E5750"/>
    <w:rsid w:val="001E7739"/>
    <w:rsid w:val="001F3DB4"/>
    <w:rsid w:val="00204F40"/>
    <w:rsid w:val="00205DEF"/>
    <w:rsid w:val="00216C8A"/>
    <w:rsid w:val="00222579"/>
    <w:rsid w:val="00226317"/>
    <w:rsid w:val="00231539"/>
    <w:rsid w:val="002523E3"/>
    <w:rsid w:val="00266FA5"/>
    <w:rsid w:val="00271CFC"/>
    <w:rsid w:val="00282FAD"/>
    <w:rsid w:val="002920F4"/>
    <w:rsid w:val="002940F3"/>
    <w:rsid w:val="00295842"/>
    <w:rsid w:val="002B3574"/>
    <w:rsid w:val="002B6B74"/>
    <w:rsid w:val="002C6AE7"/>
    <w:rsid w:val="002D2D4B"/>
    <w:rsid w:val="002D3805"/>
    <w:rsid w:val="002E66AE"/>
    <w:rsid w:val="002E73CF"/>
    <w:rsid w:val="002E7763"/>
    <w:rsid w:val="002F5842"/>
    <w:rsid w:val="00306CB7"/>
    <w:rsid w:val="003111F5"/>
    <w:rsid w:val="00336200"/>
    <w:rsid w:val="00337418"/>
    <w:rsid w:val="0034661C"/>
    <w:rsid w:val="00351D83"/>
    <w:rsid w:val="00353E46"/>
    <w:rsid w:val="003576C4"/>
    <w:rsid w:val="00366AB0"/>
    <w:rsid w:val="0037437C"/>
    <w:rsid w:val="0038146B"/>
    <w:rsid w:val="0038340F"/>
    <w:rsid w:val="00384457"/>
    <w:rsid w:val="00384F24"/>
    <w:rsid w:val="003A32B2"/>
    <w:rsid w:val="003A47DD"/>
    <w:rsid w:val="003A634F"/>
    <w:rsid w:val="003B588A"/>
    <w:rsid w:val="003B621D"/>
    <w:rsid w:val="003C4388"/>
    <w:rsid w:val="003C4C27"/>
    <w:rsid w:val="003C7F7B"/>
    <w:rsid w:val="003D2EAA"/>
    <w:rsid w:val="003D5655"/>
    <w:rsid w:val="003E054C"/>
    <w:rsid w:val="003E27A0"/>
    <w:rsid w:val="003E3872"/>
    <w:rsid w:val="003E3C09"/>
    <w:rsid w:val="004044AA"/>
    <w:rsid w:val="004044C8"/>
    <w:rsid w:val="00404F3F"/>
    <w:rsid w:val="00410B5D"/>
    <w:rsid w:val="00413BEC"/>
    <w:rsid w:val="004224CE"/>
    <w:rsid w:val="0042265E"/>
    <w:rsid w:val="00424ED7"/>
    <w:rsid w:val="00425258"/>
    <w:rsid w:val="00426217"/>
    <w:rsid w:val="00431A80"/>
    <w:rsid w:val="00433311"/>
    <w:rsid w:val="00435A89"/>
    <w:rsid w:val="00444B6E"/>
    <w:rsid w:val="00452267"/>
    <w:rsid w:val="00453307"/>
    <w:rsid w:val="00457E36"/>
    <w:rsid w:val="00462601"/>
    <w:rsid w:val="00462F8F"/>
    <w:rsid w:val="00481D56"/>
    <w:rsid w:val="00490408"/>
    <w:rsid w:val="004A4C45"/>
    <w:rsid w:val="004B0485"/>
    <w:rsid w:val="004B428E"/>
    <w:rsid w:val="004B4D37"/>
    <w:rsid w:val="004B73D5"/>
    <w:rsid w:val="004B780D"/>
    <w:rsid w:val="004C42F0"/>
    <w:rsid w:val="004D355F"/>
    <w:rsid w:val="004E1D73"/>
    <w:rsid w:val="00500A97"/>
    <w:rsid w:val="00503015"/>
    <w:rsid w:val="0051286E"/>
    <w:rsid w:val="00516021"/>
    <w:rsid w:val="00516457"/>
    <w:rsid w:val="00520A0C"/>
    <w:rsid w:val="00530E37"/>
    <w:rsid w:val="005464A1"/>
    <w:rsid w:val="00546F12"/>
    <w:rsid w:val="0055339C"/>
    <w:rsid w:val="00562B3C"/>
    <w:rsid w:val="00564E40"/>
    <w:rsid w:val="005750E2"/>
    <w:rsid w:val="0058313F"/>
    <w:rsid w:val="00585859"/>
    <w:rsid w:val="00586FBC"/>
    <w:rsid w:val="005879C9"/>
    <w:rsid w:val="005A3C6B"/>
    <w:rsid w:val="005B1EA5"/>
    <w:rsid w:val="005B7222"/>
    <w:rsid w:val="005D7176"/>
    <w:rsid w:val="005E1F24"/>
    <w:rsid w:val="005E73F1"/>
    <w:rsid w:val="005F07EF"/>
    <w:rsid w:val="00600848"/>
    <w:rsid w:val="00600A93"/>
    <w:rsid w:val="00600B2E"/>
    <w:rsid w:val="00602008"/>
    <w:rsid w:val="00607CEB"/>
    <w:rsid w:val="00613299"/>
    <w:rsid w:val="0061762D"/>
    <w:rsid w:val="00634238"/>
    <w:rsid w:val="00635FBC"/>
    <w:rsid w:val="0063694D"/>
    <w:rsid w:val="00637728"/>
    <w:rsid w:val="0064113A"/>
    <w:rsid w:val="00644002"/>
    <w:rsid w:val="006458B1"/>
    <w:rsid w:val="00650529"/>
    <w:rsid w:val="00650BAB"/>
    <w:rsid w:val="00651737"/>
    <w:rsid w:val="006671BF"/>
    <w:rsid w:val="00672A7D"/>
    <w:rsid w:val="00681416"/>
    <w:rsid w:val="00685F35"/>
    <w:rsid w:val="006A06F5"/>
    <w:rsid w:val="006A0ED2"/>
    <w:rsid w:val="006B0A73"/>
    <w:rsid w:val="006B5A6B"/>
    <w:rsid w:val="006C0193"/>
    <w:rsid w:val="006C0F82"/>
    <w:rsid w:val="006C332E"/>
    <w:rsid w:val="006C5901"/>
    <w:rsid w:val="006D6372"/>
    <w:rsid w:val="006D6E5C"/>
    <w:rsid w:val="006E02AF"/>
    <w:rsid w:val="006E0786"/>
    <w:rsid w:val="006E6B4A"/>
    <w:rsid w:val="006E7449"/>
    <w:rsid w:val="006E7FB1"/>
    <w:rsid w:val="006F2604"/>
    <w:rsid w:val="006F5319"/>
    <w:rsid w:val="006F55FD"/>
    <w:rsid w:val="006F5D21"/>
    <w:rsid w:val="00711BE3"/>
    <w:rsid w:val="00724FA7"/>
    <w:rsid w:val="00725415"/>
    <w:rsid w:val="00727505"/>
    <w:rsid w:val="00731581"/>
    <w:rsid w:val="00741B9E"/>
    <w:rsid w:val="00743DAC"/>
    <w:rsid w:val="0075337B"/>
    <w:rsid w:val="00755CD4"/>
    <w:rsid w:val="00757F96"/>
    <w:rsid w:val="00785285"/>
    <w:rsid w:val="0078529D"/>
    <w:rsid w:val="00787DC1"/>
    <w:rsid w:val="00794070"/>
    <w:rsid w:val="007944DE"/>
    <w:rsid w:val="007A1DDF"/>
    <w:rsid w:val="007A57A4"/>
    <w:rsid w:val="007A713B"/>
    <w:rsid w:val="007B64E5"/>
    <w:rsid w:val="007C2F04"/>
    <w:rsid w:val="007D466D"/>
    <w:rsid w:val="007D590D"/>
    <w:rsid w:val="007F5B8B"/>
    <w:rsid w:val="00803C76"/>
    <w:rsid w:val="00805E0D"/>
    <w:rsid w:val="00817E9A"/>
    <w:rsid w:val="00830D57"/>
    <w:rsid w:val="00860B07"/>
    <w:rsid w:val="008616F6"/>
    <w:rsid w:val="0086259C"/>
    <w:rsid w:val="00883F24"/>
    <w:rsid w:val="00897E1F"/>
    <w:rsid w:val="008B2CB4"/>
    <w:rsid w:val="008B6404"/>
    <w:rsid w:val="008C2C21"/>
    <w:rsid w:val="008C7DD3"/>
    <w:rsid w:val="008D2C07"/>
    <w:rsid w:val="008D30EB"/>
    <w:rsid w:val="008E000B"/>
    <w:rsid w:val="008E2926"/>
    <w:rsid w:val="008E35C6"/>
    <w:rsid w:val="008E3F49"/>
    <w:rsid w:val="008E7C47"/>
    <w:rsid w:val="008F243B"/>
    <w:rsid w:val="008F4675"/>
    <w:rsid w:val="00904A66"/>
    <w:rsid w:val="00916B92"/>
    <w:rsid w:val="0092287F"/>
    <w:rsid w:val="0092495B"/>
    <w:rsid w:val="0092660E"/>
    <w:rsid w:val="00936519"/>
    <w:rsid w:val="00941DA3"/>
    <w:rsid w:val="00942C0C"/>
    <w:rsid w:val="009447A6"/>
    <w:rsid w:val="009539E3"/>
    <w:rsid w:val="00953A69"/>
    <w:rsid w:val="00954A5E"/>
    <w:rsid w:val="009551B2"/>
    <w:rsid w:val="00964625"/>
    <w:rsid w:val="00981C1D"/>
    <w:rsid w:val="0099109C"/>
    <w:rsid w:val="009936DB"/>
    <w:rsid w:val="00993CFC"/>
    <w:rsid w:val="00995186"/>
    <w:rsid w:val="009A1DC2"/>
    <w:rsid w:val="009C0914"/>
    <w:rsid w:val="009C0C48"/>
    <w:rsid w:val="009C27E5"/>
    <w:rsid w:val="009D71E8"/>
    <w:rsid w:val="009D74A4"/>
    <w:rsid w:val="009E104B"/>
    <w:rsid w:val="009E7DE4"/>
    <w:rsid w:val="009F3BBD"/>
    <w:rsid w:val="00A063DD"/>
    <w:rsid w:val="00A112B5"/>
    <w:rsid w:val="00A14EEA"/>
    <w:rsid w:val="00A44FBB"/>
    <w:rsid w:val="00A50104"/>
    <w:rsid w:val="00A522E0"/>
    <w:rsid w:val="00A63579"/>
    <w:rsid w:val="00A638AC"/>
    <w:rsid w:val="00A63EB4"/>
    <w:rsid w:val="00A727E5"/>
    <w:rsid w:val="00A748B5"/>
    <w:rsid w:val="00A80A32"/>
    <w:rsid w:val="00A82A98"/>
    <w:rsid w:val="00A82D16"/>
    <w:rsid w:val="00A95F75"/>
    <w:rsid w:val="00A96B83"/>
    <w:rsid w:val="00AA355B"/>
    <w:rsid w:val="00AA42E5"/>
    <w:rsid w:val="00AB24FA"/>
    <w:rsid w:val="00AD7B5A"/>
    <w:rsid w:val="00AE229F"/>
    <w:rsid w:val="00AE501B"/>
    <w:rsid w:val="00AF5E20"/>
    <w:rsid w:val="00B002FA"/>
    <w:rsid w:val="00B00327"/>
    <w:rsid w:val="00B024B3"/>
    <w:rsid w:val="00B11DE8"/>
    <w:rsid w:val="00B179ED"/>
    <w:rsid w:val="00B20E18"/>
    <w:rsid w:val="00B55645"/>
    <w:rsid w:val="00B572C4"/>
    <w:rsid w:val="00B60858"/>
    <w:rsid w:val="00B65398"/>
    <w:rsid w:val="00B74D4E"/>
    <w:rsid w:val="00B80219"/>
    <w:rsid w:val="00BA19A5"/>
    <w:rsid w:val="00BC67F6"/>
    <w:rsid w:val="00BD2004"/>
    <w:rsid w:val="00BD4B12"/>
    <w:rsid w:val="00BE2F92"/>
    <w:rsid w:val="00BF0D5F"/>
    <w:rsid w:val="00BF415C"/>
    <w:rsid w:val="00BF7BA7"/>
    <w:rsid w:val="00C11EB4"/>
    <w:rsid w:val="00C12746"/>
    <w:rsid w:val="00C25827"/>
    <w:rsid w:val="00C31BB8"/>
    <w:rsid w:val="00C373EA"/>
    <w:rsid w:val="00C52E1E"/>
    <w:rsid w:val="00C621C1"/>
    <w:rsid w:val="00C62989"/>
    <w:rsid w:val="00C65CBB"/>
    <w:rsid w:val="00C80F37"/>
    <w:rsid w:val="00C97A7F"/>
    <w:rsid w:val="00CA2CDE"/>
    <w:rsid w:val="00CB5B17"/>
    <w:rsid w:val="00CC4443"/>
    <w:rsid w:val="00CC5CAF"/>
    <w:rsid w:val="00CE2EE8"/>
    <w:rsid w:val="00D06874"/>
    <w:rsid w:val="00D173F7"/>
    <w:rsid w:val="00D20203"/>
    <w:rsid w:val="00D204E0"/>
    <w:rsid w:val="00D21354"/>
    <w:rsid w:val="00D22400"/>
    <w:rsid w:val="00D278BA"/>
    <w:rsid w:val="00D33FE5"/>
    <w:rsid w:val="00D3578A"/>
    <w:rsid w:val="00D4463C"/>
    <w:rsid w:val="00D501EE"/>
    <w:rsid w:val="00D517DC"/>
    <w:rsid w:val="00D5590D"/>
    <w:rsid w:val="00D618E4"/>
    <w:rsid w:val="00D61DA5"/>
    <w:rsid w:val="00D81B6A"/>
    <w:rsid w:val="00D875ED"/>
    <w:rsid w:val="00D877D0"/>
    <w:rsid w:val="00D90013"/>
    <w:rsid w:val="00D91B9C"/>
    <w:rsid w:val="00D92C1B"/>
    <w:rsid w:val="00D94CC7"/>
    <w:rsid w:val="00DA1AF4"/>
    <w:rsid w:val="00DB0C60"/>
    <w:rsid w:val="00DC641A"/>
    <w:rsid w:val="00DD6B7D"/>
    <w:rsid w:val="00DD6E14"/>
    <w:rsid w:val="00DE15AC"/>
    <w:rsid w:val="00E061EC"/>
    <w:rsid w:val="00E13E51"/>
    <w:rsid w:val="00E407A3"/>
    <w:rsid w:val="00E43EAD"/>
    <w:rsid w:val="00E53F3F"/>
    <w:rsid w:val="00E62DCB"/>
    <w:rsid w:val="00E651DD"/>
    <w:rsid w:val="00E66558"/>
    <w:rsid w:val="00E70D81"/>
    <w:rsid w:val="00E717F0"/>
    <w:rsid w:val="00E726A6"/>
    <w:rsid w:val="00E86F05"/>
    <w:rsid w:val="00EA3A2A"/>
    <w:rsid w:val="00EB4556"/>
    <w:rsid w:val="00EB64C8"/>
    <w:rsid w:val="00ED5108"/>
    <w:rsid w:val="00ED7728"/>
    <w:rsid w:val="00EE1646"/>
    <w:rsid w:val="00F012CA"/>
    <w:rsid w:val="00F01752"/>
    <w:rsid w:val="00F0355A"/>
    <w:rsid w:val="00F24A7E"/>
    <w:rsid w:val="00F33DC0"/>
    <w:rsid w:val="00F62587"/>
    <w:rsid w:val="00F63E9E"/>
    <w:rsid w:val="00F724F5"/>
    <w:rsid w:val="00F76843"/>
    <w:rsid w:val="00F7764B"/>
    <w:rsid w:val="00F776E1"/>
    <w:rsid w:val="00F925EB"/>
    <w:rsid w:val="00F92741"/>
    <w:rsid w:val="00F93AD7"/>
    <w:rsid w:val="00FA6DD0"/>
    <w:rsid w:val="00FC28DF"/>
    <w:rsid w:val="00FE3136"/>
    <w:rsid w:val="00FE50A3"/>
    <w:rsid w:val="00FF369D"/>
    <w:rsid w:val="00FF6FB0"/>
    <w:rsid w:val="05B6D577"/>
    <w:rsid w:val="069AA0E3"/>
    <w:rsid w:val="07FFD3D3"/>
    <w:rsid w:val="0B240EAF"/>
    <w:rsid w:val="13173609"/>
    <w:rsid w:val="1A172959"/>
    <w:rsid w:val="1CBF4D92"/>
    <w:rsid w:val="2497129E"/>
    <w:rsid w:val="2860AB8E"/>
    <w:rsid w:val="2FFB967E"/>
    <w:rsid w:val="31CC4DD9"/>
    <w:rsid w:val="380BAE89"/>
    <w:rsid w:val="3A3F1ACF"/>
    <w:rsid w:val="3BE13FA2"/>
    <w:rsid w:val="3EA4202B"/>
    <w:rsid w:val="418407A1"/>
    <w:rsid w:val="491E3A64"/>
    <w:rsid w:val="4BF69EA0"/>
    <w:rsid w:val="5C40C457"/>
    <w:rsid w:val="5F3A7B6B"/>
    <w:rsid w:val="617B4808"/>
    <w:rsid w:val="625D1A15"/>
    <w:rsid w:val="6D28B1AF"/>
    <w:rsid w:val="6D616F43"/>
    <w:rsid w:val="6EB73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8F3CF67D-12D9-4CBD-8668-182D8E77A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741"/>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paragraph" w:styleId="Revision">
    <w:name w:val="Revision"/>
    <w:hidden/>
    <w:uiPriority w:val="99"/>
    <w:semiHidden/>
    <w:rsid w:val="00115538"/>
    <w:pPr>
      <w:autoSpaceDN/>
    </w:pPr>
    <w:rPr>
      <w:color w:val="0D0D0D"/>
      <w:sz w:val="24"/>
      <w:szCs w:val="24"/>
    </w:rPr>
  </w:style>
  <w:style w:type="character" w:styleId="Mention">
    <w:name w:val="Mention"/>
    <w:basedOn w:val="DefaultParagraphFont"/>
    <w:uiPriority w:val="99"/>
    <w:unhideWhenUsed/>
    <w:rsid w:val="00E726A6"/>
    <w:rPr>
      <w:color w:val="2B579A"/>
      <w:shd w:val="clear" w:color="auto" w:fill="E1DFDD"/>
    </w:rPr>
  </w:style>
  <w:style w:type="table" w:styleId="TableGrid">
    <w:name w:val="Table Grid"/>
    <w:basedOn w:val="TableNormal"/>
    <w:uiPriority w:val="39"/>
    <w:rsid w:val="009539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29493">
      <w:bodyDiv w:val="1"/>
      <w:marLeft w:val="0"/>
      <w:marRight w:val="0"/>
      <w:marTop w:val="0"/>
      <w:marBottom w:val="0"/>
      <w:divBdr>
        <w:top w:val="none" w:sz="0" w:space="0" w:color="auto"/>
        <w:left w:val="none" w:sz="0" w:space="0" w:color="auto"/>
        <w:bottom w:val="none" w:sz="0" w:space="0" w:color="auto"/>
        <w:right w:val="none" w:sz="0" w:space="0" w:color="auto"/>
      </w:divBdr>
    </w:div>
    <w:div w:id="15817207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13</Pages>
  <Words>3283</Words>
  <Characters>18717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Pupil premium strategy statement</vt:lpstr>
    </vt:vector>
  </TitlesOfParts>
  <Company/>
  <LinksUpToDate>false</LinksUpToDate>
  <CharactersWithSpaces>21957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Pupil premium strategy statement</dc:title>
  <dc:subject/>
  <dc:creator>Publishing.TEAM@education.gsi.gov.uk</dc:creator>
  <cp:keywords/>
  <dc:description>Master-ET-v3.8</dc:description>
  <cp:lastModifiedBy>Kate Preece</cp:lastModifiedBy>
  <cp:revision>8</cp:revision>
  <cp:lastPrinted>2014-09-17T21:26:00Z</cp:lastPrinted>
  <dcterms:created xsi:type="dcterms:W3CDTF">2022-11-18T12:16:00Z</dcterms:created>
  <dcterms:modified xsi:type="dcterms:W3CDTF">2022-11-30T13:57:00Z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