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744A" w14:textId="77777777" w:rsidR="00501855" w:rsidRDefault="00501855" w:rsidP="00501855">
      <w:pPr>
        <w:pStyle w:val="4Heading1"/>
        <w:spacing w:after="240"/>
        <w:jc w:val="center"/>
        <w:rPr>
          <w:rFonts w:asciiTheme="minorHAnsi" w:hAnsiTheme="minorHAnsi" w:cstheme="minorHAnsi"/>
          <w:color w:val="002060"/>
          <w:sz w:val="40"/>
          <w:szCs w:val="40"/>
        </w:rPr>
      </w:pPr>
      <w:r>
        <w:rPr>
          <w:rFonts w:ascii="Arial" w:hAnsi="Arial"/>
          <w:b w:val="0"/>
          <w:noProof/>
        </w:rPr>
        <w:drawing>
          <wp:inline distT="0" distB="0" distL="0" distR="0" wp14:anchorId="389382FA" wp14:editId="0E148771">
            <wp:extent cx="868680" cy="868680"/>
            <wp:effectExtent l="0" t="0" r="7620" b="7620"/>
            <wp:docPr id="2" name="Picture 2" descr="C:\Users\kpreece\AppData\Local\Microsoft\Windows\INetCache\Content.MSO\475CF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reece\AppData\Local\Microsoft\Windows\INetCache\Content.MSO\475CFC8.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14:paraId="2D9D12DA" w14:textId="77777777" w:rsidR="00F94E61" w:rsidRPr="003C4D7A" w:rsidRDefault="00F94E61" w:rsidP="00501855">
      <w:pPr>
        <w:pStyle w:val="4Heading1"/>
        <w:spacing w:after="240"/>
        <w:jc w:val="center"/>
        <w:rPr>
          <w:rFonts w:ascii="Arial" w:hAnsi="Arial"/>
        </w:rPr>
      </w:pPr>
      <w:r w:rsidRPr="00E017B9">
        <w:rPr>
          <w:rFonts w:asciiTheme="minorHAnsi" w:hAnsiTheme="minorHAnsi" w:cstheme="minorHAnsi"/>
          <w:color w:val="002060"/>
          <w:sz w:val="40"/>
          <w:szCs w:val="40"/>
        </w:rPr>
        <w:t>Action Plan for Pupil Premium provision September 2022</w:t>
      </w:r>
      <w:r>
        <w:rPr>
          <w:rFonts w:asciiTheme="minorHAnsi" w:hAnsiTheme="minorHAnsi" w:cstheme="minorHAnsi"/>
          <w:color w:val="002060"/>
          <w:sz w:val="40"/>
          <w:szCs w:val="40"/>
        </w:rPr>
        <w:t xml:space="preserve"> </w:t>
      </w:r>
      <w:r w:rsidRPr="00E017B9">
        <w:rPr>
          <w:rFonts w:asciiTheme="minorHAnsi" w:hAnsiTheme="minorHAnsi" w:cstheme="minorHAnsi"/>
          <w:color w:val="002060"/>
          <w:sz w:val="40"/>
          <w:szCs w:val="40"/>
        </w:rPr>
        <w:t>-</w:t>
      </w:r>
      <w:r>
        <w:rPr>
          <w:rFonts w:asciiTheme="minorHAnsi" w:hAnsiTheme="minorHAnsi" w:cstheme="minorHAnsi"/>
          <w:color w:val="002060"/>
          <w:sz w:val="40"/>
          <w:szCs w:val="40"/>
        </w:rPr>
        <w:t xml:space="preserve"> </w:t>
      </w:r>
      <w:r w:rsidRPr="00E017B9">
        <w:rPr>
          <w:rFonts w:asciiTheme="minorHAnsi" w:hAnsiTheme="minorHAnsi" w:cstheme="minorHAnsi"/>
          <w:color w:val="002060"/>
          <w:sz w:val="40"/>
          <w:szCs w:val="40"/>
        </w:rPr>
        <w:t>September 2023</w:t>
      </w:r>
      <w:r>
        <w:rPr>
          <w:rFonts w:ascii="Arial" w:hAnsi="Arial"/>
        </w:rPr>
        <w:t xml:space="preserve"> </w:t>
      </w:r>
      <w:r w:rsidRPr="003D6489">
        <w:rPr>
          <w:rFonts w:ascii="Arial" w:hAnsi="Arial"/>
        </w:rPr>
        <w:t xml:space="preserve"> </w:t>
      </w:r>
    </w:p>
    <w:tbl>
      <w:tblPr>
        <w:tblStyle w:val="TableGrid"/>
        <w:tblW w:w="15446" w:type="dxa"/>
        <w:tblLook w:val="04A0" w:firstRow="1" w:lastRow="0" w:firstColumn="1" w:lastColumn="0" w:noHBand="0" w:noVBand="1"/>
      </w:tblPr>
      <w:tblGrid>
        <w:gridCol w:w="1129"/>
        <w:gridCol w:w="2863"/>
        <w:gridCol w:w="2863"/>
        <w:gridCol w:w="2864"/>
        <w:gridCol w:w="2863"/>
        <w:gridCol w:w="2864"/>
      </w:tblGrid>
      <w:tr w:rsidR="00F94E61" w14:paraId="6C9D0FDC" w14:textId="77777777" w:rsidTr="00F94E61">
        <w:tc>
          <w:tcPr>
            <w:tcW w:w="15446" w:type="dxa"/>
            <w:gridSpan w:val="6"/>
            <w:shd w:val="clear" w:color="auto" w:fill="BDBDFF"/>
          </w:tcPr>
          <w:p w14:paraId="7DE8F21C" w14:textId="77777777" w:rsidR="00F94E61" w:rsidRPr="00E017B9" w:rsidRDefault="00F94E61" w:rsidP="00F94E61">
            <w:pPr>
              <w:pStyle w:val="1bodycopy"/>
              <w:spacing w:before="120" w:after="240"/>
              <w:jc w:val="center"/>
              <w:rPr>
                <w:rFonts w:asciiTheme="minorHAnsi" w:hAnsiTheme="minorHAnsi" w:cstheme="minorHAnsi"/>
                <w:b/>
                <w:sz w:val="28"/>
                <w:szCs w:val="28"/>
              </w:rPr>
            </w:pPr>
            <w:bookmarkStart w:id="0" w:name="_Hlk121732614"/>
            <w:r>
              <w:rPr>
                <w:rFonts w:asciiTheme="minorHAnsi" w:hAnsiTheme="minorHAnsi" w:cstheme="minorHAnsi"/>
                <w:b/>
                <w:sz w:val="28"/>
                <w:szCs w:val="28"/>
              </w:rPr>
              <w:t>SCHOOL CONTEXT</w:t>
            </w:r>
          </w:p>
        </w:tc>
      </w:tr>
      <w:tr w:rsidR="003C4D7A" w14:paraId="36D3A095" w14:textId="77777777" w:rsidTr="003C4D7A">
        <w:tc>
          <w:tcPr>
            <w:tcW w:w="15446" w:type="dxa"/>
            <w:gridSpan w:val="6"/>
            <w:shd w:val="clear" w:color="auto" w:fill="auto"/>
          </w:tcPr>
          <w:p w14:paraId="60765625" w14:textId="77777777" w:rsidR="003C4D7A" w:rsidRPr="003C4D7A" w:rsidRDefault="003C4D7A" w:rsidP="003C4D7A">
            <w:pPr>
              <w:pStyle w:val="1bodycopy"/>
              <w:spacing w:before="120" w:after="240"/>
              <w:jc w:val="center"/>
              <w:rPr>
                <w:rFonts w:asciiTheme="minorHAnsi" w:hAnsiTheme="minorHAnsi" w:cstheme="minorHAnsi"/>
                <w:b/>
              </w:rPr>
            </w:pPr>
            <w:r w:rsidRPr="003C4D7A">
              <w:rPr>
                <w:rFonts w:asciiTheme="minorHAnsi" w:hAnsiTheme="minorHAnsi" w:cstheme="minorHAnsi"/>
                <w:b/>
              </w:rPr>
              <w:t>Academic years that our current pupil premium strategy plan covers: 2021 - 2024</w:t>
            </w:r>
          </w:p>
        </w:tc>
      </w:tr>
      <w:tr w:rsidR="00F94E61" w14:paraId="0EABCDE0" w14:textId="77777777" w:rsidTr="00501855">
        <w:tc>
          <w:tcPr>
            <w:tcW w:w="1129" w:type="dxa"/>
          </w:tcPr>
          <w:p w14:paraId="6FC4577B" w14:textId="77777777" w:rsidR="00F94E61" w:rsidRPr="00DC32F9" w:rsidRDefault="00F94E61" w:rsidP="00570352">
            <w:pPr>
              <w:pStyle w:val="1bodycopy"/>
              <w:rPr>
                <w:rFonts w:asciiTheme="minorHAnsi" w:hAnsiTheme="minorHAnsi" w:cstheme="minorHAnsi"/>
              </w:rPr>
            </w:pPr>
          </w:p>
        </w:tc>
        <w:tc>
          <w:tcPr>
            <w:tcW w:w="2863" w:type="dxa"/>
          </w:tcPr>
          <w:p w14:paraId="5A5D0457" w14:textId="77777777" w:rsidR="00F94E61" w:rsidRPr="00501855" w:rsidRDefault="00F94E61" w:rsidP="00570352">
            <w:pPr>
              <w:pStyle w:val="1bodycopy"/>
              <w:rPr>
                <w:rFonts w:asciiTheme="minorHAnsi" w:hAnsiTheme="minorHAnsi" w:cstheme="minorHAnsi"/>
                <w:sz w:val="20"/>
                <w:szCs w:val="20"/>
              </w:rPr>
            </w:pPr>
            <w:r w:rsidRPr="00501855">
              <w:rPr>
                <w:rFonts w:asciiTheme="minorHAnsi" w:hAnsiTheme="minorHAnsi" w:cstheme="minorHAnsi"/>
                <w:sz w:val="20"/>
                <w:szCs w:val="20"/>
              </w:rPr>
              <w:t>Pupils on roll</w:t>
            </w:r>
          </w:p>
        </w:tc>
        <w:tc>
          <w:tcPr>
            <w:tcW w:w="2863" w:type="dxa"/>
          </w:tcPr>
          <w:p w14:paraId="3D7C64C8" w14:textId="77777777" w:rsidR="00F94E61" w:rsidRPr="00501855" w:rsidRDefault="00F94E61" w:rsidP="00570352">
            <w:pPr>
              <w:pStyle w:val="1bodycopy"/>
              <w:rPr>
                <w:rFonts w:asciiTheme="minorHAnsi" w:hAnsiTheme="minorHAnsi" w:cstheme="minorHAnsi"/>
                <w:sz w:val="20"/>
                <w:szCs w:val="20"/>
              </w:rPr>
            </w:pPr>
            <w:r w:rsidRPr="00501855">
              <w:rPr>
                <w:rFonts w:asciiTheme="minorHAnsi" w:hAnsiTheme="minorHAnsi" w:cstheme="minorHAnsi"/>
                <w:sz w:val="20"/>
                <w:szCs w:val="20"/>
              </w:rPr>
              <w:t>Pupils eligible for free school meals or have been eligible in the past 6 years</w:t>
            </w:r>
          </w:p>
        </w:tc>
        <w:tc>
          <w:tcPr>
            <w:tcW w:w="2864" w:type="dxa"/>
          </w:tcPr>
          <w:p w14:paraId="68332B10" w14:textId="77777777" w:rsidR="00F94E61" w:rsidRPr="00501855" w:rsidRDefault="00F94E61" w:rsidP="00570352">
            <w:pPr>
              <w:pStyle w:val="1bodycopy"/>
              <w:rPr>
                <w:rFonts w:asciiTheme="minorHAnsi" w:hAnsiTheme="minorHAnsi" w:cstheme="minorHAnsi"/>
                <w:sz w:val="20"/>
                <w:szCs w:val="20"/>
              </w:rPr>
            </w:pPr>
            <w:r w:rsidRPr="00501855">
              <w:rPr>
                <w:rFonts w:asciiTheme="minorHAnsi" w:hAnsiTheme="minorHAnsi" w:cstheme="minorHAnsi"/>
                <w:sz w:val="20"/>
                <w:szCs w:val="20"/>
              </w:rPr>
              <w:t>Pupils who are looked after by the local authority, have been adopted from care or who have left care</w:t>
            </w:r>
          </w:p>
        </w:tc>
        <w:tc>
          <w:tcPr>
            <w:tcW w:w="2863" w:type="dxa"/>
          </w:tcPr>
          <w:p w14:paraId="0E07FFEC" w14:textId="77777777" w:rsidR="00F94E61" w:rsidRPr="00501855" w:rsidRDefault="00F94E61" w:rsidP="00570352">
            <w:pPr>
              <w:pStyle w:val="1bodycopy"/>
              <w:rPr>
                <w:rFonts w:asciiTheme="minorHAnsi" w:hAnsiTheme="minorHAnsi" w:cstheme="minorHAnsi"/>
                <w:sz w:val="20"/>
                <w:szCs w:val="20"/>
              </w:rPr>
            </w:pPr>
            <w:r w:rsidRPr="00501855">
              <w:rPr>
                <w:rFonts w:asciiTheme="minorHAnsi" w:hAnsiTheme="minorHAnsi" w:cstheme="minorHAnsi"/>
                <w:sz w:val="20"/>
                <w:szCs w:val="20"/>
              </w:rPr>
              <w:t>Pupils eligible for service pupil premium</w:t>
            </w:r>
          </w:p>
          <w:p w14:paraId="63F1C4EB" w14:textId="77777777" w:rsidR="00F94E61" w:rsidRPr="00501855" w:rsidRDefault="00F94E61" w:rsidP="00570352">
            <w:pPr>
              <w:pStyle w:val="1bodycopy"/>
              <w:rPr>
                <w:rFonts w:asciiTheme="minorHAnsi" w:hAnsiTheme="minorHAnsi" w:cstheme="minorHAnsi"/>
                <w:sz w:val="20"/>
                <w:szCs w:val="20"/>
              </w:rPr>
            </w:pPr>
          </w:p>
        </w:tc>
        <w:tc>
          <w:tcPr>
            <w:tcW w:w="2864" w:type="dxa"/>
          </w:tcPr>
          <w:p w14:paraId="4D1C5073" w14:textId="77777777" w:rsidR="00F94E61" w:rsidRPr="00501855" w:rsidRDefault="00F94E61" w:rsidP="00570352">
            <w:pPr>
              <w:pStyle w:val="1bodycopy"/>
              <w:rPr>
                <w:rFonts w:asciiTheme="minorHAnsi" w:hAnsiTheme="minorHAnsi" w:cstheme="minorHAnsi"/>
                <w:sz w:val="20"/>
                <w:szCs w:val="20"/>
              </w:rPr>
            </w:pPr>
            <w:r w:rsidRPr="00501855">
              <w:rPr>
                <w:rFonts w:asciiTheme="minorHAnsi" w:hAnsiTheme="minorHAnsi" w:cstheme="minorHAnsi"/>
                <w:sz w:val="20"/>
                <w:szCs w:val="20"/>
              </w:rPr>
              <w:t>Total number of eligible pupils</w:t>
            </w:r>
          </w:p>
          <w:p w14:paraId="524726E4" w14:textId="77777777" w:rsidR="00F94E61" w:rsidRPr="00501855" w:rsidRDefault="00F94E61" w:rsidP="00570352">
            <w:pPr>
              <w:pStyle w:val="1bodycopy"/>
              <w:rPr>
                <w:rFonts w:asciiTheme="minorHAnsi" w:hAnsiTheme="minorHAnsi" w:cstheme="minorHAnsi"/>
                <w:sz w:val="20"/>
                <w:szCs w:val="20"/>
              </w:rPr>
            </w:pPr>
          </w:p>
        </w:tc>
      </w:tr>
      <w:tr w:rsidR="00F94E61" w14:paraId="457A59D0" w14:textId="77777777" w:rsidTr="00501855">
        <w:tc>
          <w:tcPr>
            <w:tcW w:w="1129" w:type="dxa"/>
          </w:tcPr>
          <w:p w14:paraId="7005C411" w14:textId="47277BF9" w:rsidR="00F94E61" w:rsidRDefault="000C67BF" w:rsidP="00570352">
            <w:pPr>
              <w:pStyle w:val="1bodycopy"/>
              <w:rPr>
                <w:rFonts w:ascii="Calibri" w:hAnsi="Calibri" w:cs="Calibri"/>
              </w:rPr>
            </w:pPr>
            <w:r>
              <w:rPr>
                <w:rFonts w:ascii="Calibri" w:hAnsi="Calibri" w:cs="Calibri"/>
              </w:rPr>
              <w:t>EYFS</w:t>
            </w:r>
          </w:p>
          <w:p w14:paraId="283FBB23" w14:textId="77777777" w:rsidR="00F94E61" w:rsidRPr="00DC32F9" w:rsidRDefault="00F94E61" w:rsidP="00570352">
            <w:pPr>
              <w:pStyle w:val="1bodycopy"/>
              <w:rPr>
                <w:rFonts w:asciiTheme="minorHAnsi" w:hAnsiTheme="minorHAnsi" w:cstheme="minorHAnsi"/>
              </w:rPr>
            </w:pPr>
          </w:p>
        </w:tc>
        <w:tc>
          <w:tcPr>
            <w:tcW w:w="2863" w:type="dxa"/>
          </w:tcPr>
          <w:p w14:paraId="2FFAE40A" w14:textId="77777777" w:rsidR="00F94E61" w:rsidRPr="00DC32F9" w:rsidRDefault="00B41CF8" w:rsidP="00570352">
            <w:pPr>
              <w:pStyle w:val="1bodycopy"/>
              <w:rPr>
                <w:rFonts w:asciiTheme="minorHAnsi" w:hAnsiTheme="minorHAnsi" w:cstheme="minorHAnsi"/>
              </w:rPr>
            </w:pPr>
            <w:r>
              <w:rPr>
                <w:rFonts w:asciiTheme="minorHAnsi" w:hAnsiTheme="minorHAnsi" w:cstheme="minorHAnsi"/>
              </w:rPr>
              <w:t>6</w:t>
            </w:r>
          </w:p>
        </w:tc>
        <w:tc>
          <w:tcPr>
            <w:tcW w:w="2863" w:type="dxa"/>
          </w:tcPr>
          <w:p w14:paraId="470B218F" w14:textId="3802C2C8" w:rsidR="00F94E61" w:rsidRPr="00DC32F9" w:rsidRDefault="000C67BF" w:rsidP="00570352">
            <w:pPr>
              <w:pStyle w:val="1bodycopy"/>
              <w:rPr>
                <w:rFonts w:asciiTheme="minorHAnsi" w:hAnsiTheme="minorHAnsi" w:cstheme="minorHAnsi"/>
              </w:rPr>
            </w:pPr>
            <w:r>
              <w:rPr>
                <w:rFonts w:asciiTheme="minorHAnsi" w:hAnsiTheme="minorHAnsi" w:cstheme="minorHAnsi"/>
              </w:rPr>
              <w:t>1</w:t>
            </w:r>
          </w:p>
        </w:tc>
        <w:tc>
          <w:tcPr>
            <w:tcW w:w="2864" w:type="dxa"/>
          </w:tcPr>
          <w:p w14:paraId="11134132" w14:textId="77777777" w:rsidR="00F94E61" w:rsidRPr="00DC32F9" w:rsidRDefault="00662001" w:rsidP="00570352">
            <w:pPr>
              <w:pStyle w:val="1bodycopy"/>
              <w:rPr>
                <w:rFonts w:asciiTheme="minorHAnsi" w:hAnsiTheme="minorHAnsi" w:cstheme="minorHAnsi"/>
              </w:rPr>
            </w:pPr>
            <w:r>
              <w:rPr>
                <w:rFonts w:asciiTheme="minorHAnsi" w:hAnsiTheme="minorHAnsi" w:cstheme="minorHAnsi"/>
              </w:rPr>
              <w:t>0</w:t>
            </w:r>
          </w:p>
        </w:tc>
        <w:tc>
          <w:tcPr>
            <w:tcW w:w="2863" w:type="dxa"/>
          </w:tcPr>
          <w:p w14:paraId="2AB8D144" w14:textId="14DA05D9" w:rsidR="00F94E61" w:rsidRPr="00DC32F9" w:rsidRDefault="000C67BF" w:rsidP="00570352">
            <w:pPr>
              <w:pStyle w:val="1bodycopy"/>
              <w:rPr>
                <w:rFonts w:asciiTheme="minorHAnsi" w:hAnsiTheme="minorHAnsi" w:cstheme="minorHAnsi"/>
              </w:rPr>
            </w:pPr>
            <w:r>
              <w:rPr>
                <w:rFonts w:asciiTheme="minorHAnsi" w:hAnsiTheme="minorHAnsi" w:cstheme="minorHAnsi"/>
              </w:rPr>
              <w:t>1</w:t>
            </w:r>
          </w:p>
        </w:tc>
        <w:tc>
          <w:tcPr>
            <w:tcW w:w="2864" w:type="dxa"/>
          </w:tcPr>
          <w:p w14:paraId="0F40D6BA" w14:textId="427B18F0" w:rsidR="007D11FC" w:rsidRPr="00DC32F9" w:rsidRDefault="000C67BF" w:rsidP="00570352">
            <w:pPr>
              <w:pStyle w:val="1bodycopy"/>
              <w:rPr>
                <w:rFonts w:asciiTheme="minorHAnsi" w:hAnsiTheme="minorHAnsi" w:cstheme="minorHAnsi"/>
              </w:rPr>
            </w:pPr>
            <w:r>
              <w:rPr>
                <w:rFonts w:asciiTheme="minorHAnsi" w:hAnsiTheme="minorHAnsi" w:cstheme="minorHAnsi"/>
              </w:rPr>
              <w:t>1</w:t>
            </w:r>
          </w:p>
        </w:tc>
      </w:tr>
      <w:tr w:rsidR="00F94E61" w14:paraId="0ADD299B" w14:textId="77777777" w:rsidTr="00501855">
        <w:tc>
          <w:tcPr>
            <w:tcW w:w="1129" w:type="dxa"/>
          </w:tcPr>
          <w:p w14:paraId="01D45BE7" w14:textId="77777777" w:rsidR="00F94E61" w:rsidRDefault="00F94E61" w:rsidP="00570352">
            <w:pPr>
              <w:pStyle w:val="1bodycopy"/>
              <w:rPr>
                <w:rFonts w:ascii="Calibri" w:hAnsi="Calibri" w:cs="Calibri"/>
              </w:rPr>
            </w:pPr>
            <w:r w:rsidRPr="00F44A0E">
              <w:rPr>
                <w:rFonts w:ascii="Calibri" w:hAnsi="Calibri" w:cs="Calibri"/>
              </w:rPr>
              <w:t>Y1-Y6</w:t>
            </w:r>
          </w:p>
          <w:p w14:paraId="4AD67081" w14:textId="77777777" w:rsidR="00F94E61" w:rsidRPr="00DC32F9" w:rsidRDefault="00F94E61" w:rsidP="00570352">
            <w:pPr>
              <w:pStyle w:val="1bodycopy"/>
              <w:rPr>
                <w:rFonts w:asciiTheme="minorHAnsi" w:hAnsiTheme="minorHAnsi" w:cstheme="minorHAnsi"/>
              </w:rPr>
            </w:pPr>
          </w:p>
        </w:tc>
        <w:tc>
          <w:tcPr>
            <w:tcW w:w="2863" w:type="dxa"/>
          </w:tcPr>
          <w:p w14:paraId="1FA6D890" w14:textId="77777777" w:rsidR="00F94E61" w:rsidRPr="00DC32F9" w:rsidRDefault="00B41CF8" w:rsidP="00570352">
            <w:pPr>
              <w:pStyle w:val="1bodycopy"/>
              <w:rPr>
                <w:rFonts w:asciiTheme="minorHAnsi" w:hAnsiTheme="minorHAnsi" w:cstheme="minorHAnsi"/>
              </w:rPr>
            </w:pPr>
            <w:r>
              <w:rPr>
                <w:rFonts w:asciiTheme="minorHAnsi" w:hAnsiTheme="minorHAnsi" w:cstheme="minorHAnsi"/>
              </w:rPr>
              <w:t>63</w:t>
            </w:r>
          </w:p>
        </w:tc>
        <w:tc>
          <w:tcPr>
            <w:tcW w:w="2863" w:type="dxa"/>
          </w:tcPr>
          <w:p w14:paraId="5ECED2AB" w14:textId="3644A22E" w:rsidR="00F94E61" w:rsidRPr="00DC32F9" w:rsidRDefault="00567AD0" w:rsidP="00570352">
            <w:pPr>
              <w:pStyle w:val="1bodycopy"/>
              <w:rPr>
                <w:rFonts w:asciiTheme="minorHAnsi" w:hAnsiTheme="minorHAnsi" w:cstheme="minorHAnsi"/>
              </w:rPr>
            </w:pPr>
            <w:r>
              <w:rPr>
                <w:rFonts w:asciiTheme="minorHAnsi" w:hAnsiTheme="minorHAnsi" w:cstheme="minorHAnsi"/>
              </w:rPr>
              <w:t>3</w:t>
            </w:r>
            <w:r w:rsidR="000C67BF">
              <w:rPr>
                <w:rFonts w:asciiTheme="minorHAnsi" w:hAnsiTheme="minorHAnsi" w:cstheme="minorHAnsi"/>
              </w:rPr>
              <w:t>4</w:t>
            </w:r>
          </w:p>
        </w:tc>
        <w:tc>
          <w:tcPr>
            <w:tcW w:w="2864" w:type="dxa"/>
          </w:tcPr>
          <w:p w14:paraId="3F74D977" w14:textId="54C1169C" w:rsidR="00F94E61" w:rsidRPr="00DC32F9" w:rsidRDefault="000C67BF" w:rsidP="00570352">
            <w:pPr>
              <w:pStyle w:val="1bodycopy"/>
              <w:rPr>
                <w:rFonts w:asciiTheme="minorHAnsi" w:hAnsiTheme="minorHAnsi" w:cstheme="minorHAnsi"/>
              </w:rPr>
            </w:pPr>
            <w:r>
              <w:rPr>
                <w:rFonts w:asciiTheme="minorHAnsi" w:hAnsiTheme="minorHAnsi" w:cstheme="minorHAnsi"/>
              </w:rPr>
              <w:t>3</w:t>
            </w:r>
          </w:p>
        </w:tc>
        <w:tc>
          <w:tcPr>
            <w:tcW w:w="2863" w:type="dxa"/>
          </w:tcPr>
          <w:p w14:paraId="00C780ED" w14:textId="77777777" w:rsidR="00F94E61" w:rsidRPr="00DC32F9" w:rsidRDefault="00567AD0" w:rsidP="00570352">
            <w:pPr>
              <w:pStyle w:val="1bodycopy"/>
              <w:rPr>
                <w:rFonts w:asciiTheme="minorHAnsi" w:hAnsiTheme="minorHAnsi" w:cstheme="minorHAnsi"/>
              </w:rPr>
            </w:pPr>
            <w:r>
              <w:rPr>
                <w:rFonts w:asciiTheme="minorHAnsi" w:hAnsiTheme="minorHAnsi" w:cstheme="minorHAnsi"/>
              </w:rPr>
              <w:t>0</w:t>
            </w:r>
          </w:p>
        </w:tc>
        <w:tc>
          <w:tcPr>
            <w:tcW w:w="2864" w:type="dxa"/>
          </w:tcPr>
          <w:p w14:paraId="00A9BDA6" w14:textId="6789CE5B" w:rsidR="007D11FC" w:rsidRPr="00DC32F9" w:rsidRDefault="00662001" w:rsidP="00570352">
            <w:pPr>
              <w:pStyle w:val="1bodycopy"/>
              <w:rPr>
                <w:rFonts w:asciiTheme="minorHAnsi" w:hAnsiTheme="minorHAnsi" w:cstheme="minorHAnsi"/>
              </w:rPr>
            </w:pPr>
            <w:r>
              <w:rPr>
                <w:rFonts w:asciiTheme="minorHAnsi" w:hAnsiTheme="minorHAnsi" w:cstheme="minorHAnsi"/>
              </w:rPr>
              <w:t>40</w:t>
            </w:r>
            <w:r w:rsidR="003B02BB">
              <w:rPr>
                <w:rFonts w:asciiTheme="minorHAnsi" w:hAnsiTheme="minorHAnsi" w:cstheme="minorHAnsi"/>
              </w:rPr>
              <w:t xml:space="preserve"> </w:t>
            </w:r>
          </w:p>
        </w:tc>
      </w:tr>
      <w:tr w:rsidR="00F94E61" w14:paraId="397281E5" w14:textId="77777777" w:rsidTr="00501855">
        <w:tc>
          <w:tcPr>
            <w:tcW w:w="1129" w:type="dxa"/>
          </w:tcPr>
          <w:p w14:paraId="6191C2EF" w14:textId="77777777" w:rsidR="00F94E61" w:rsidRDefault="00F94E61" w:rsidP="00570352">
            <w:pPr>
              <w:pStyle w:val="1bodycopy"/>
              <w:rPr>
                <w:rFonts w:ascii="Calibri" w:hAnsi="Calibri" w:cs="Calibri"/>
              </w:rPr>
            </w:pPr>
            <w:r>
              <w:rPr>
                <w:rFonts w:ascii="Calibri" w:hAnsi="Calibri" w:cs="Calibri"/>
              </w:rPr>
              <w:t>Y7-Y11</w:t>
            </w:r>
          </w:p>
          <w:p w14:paraId="2FF02F0D" w14:textId="77777777" w:rsidR="00F94E61" w:rsidRPr="00F44A0E" w:rsidRDefault="00F94E61" w:rsidP="00570352">
            <w:pPr>
              <w:pStyle w:val="1bodycopy"/>
              <w:rPr>
                <w:rFonts w:ascii="Calibri" w:hAnsi="Calibri" w:cs="Calibri"/>
              </w:rPr>
            </w:pPr>
          </w:p>
        </w:tc>
        <w:tc>
          <w:tcPr>
            <w:tcW w:w="2863" w:type="dxa"/>
          </w:tcPr>
          <w:p w14:paraId="2C49D97E" w14:textId="77777777" w:rsidR="00F94E61" w:rsidRPr="00DC32F9" w:rsidRDefault="00B41CF8" w:rsidP="00570352">
            <w:pPr>
              <w:pStyle w:val="1bodycopy"/>
              <w:rPr>
                <w:rFonts w:asciiTheme="minorHAnsi" w:hAnsiTheme="minorHAnsi" w:cstheme="minorHAnsi"/>
              </w:rPr>
            </w:pPr>
            <w:r>
              <w:rPr>
                <w:rFonts w:asciiTheme="minorHAnsi" w:hAnsiTheme="minorHAnsi" w:cstheme="minorHAnsi"/>
              </w:rPr>
              <w:t>69</w:t>
            </w:r>
          </w:p>
        </w:tc>
        <w:tc>
          <w:tcPr>
            <w:tcW w:w="2863" w:type="dxa"/>
          </w:tcPr>
          <w:p w14:paraId="28299376" w14:textId="798822BA" w:rsidR="00F94E61" w:rsidRPr="00DC32F9" w:rsidRDefault="000C67BF" w:rsidP="00570352">
            <w:pPr>
              <w:pStyle w:val="1bodycopy"/>
              <w:rPr>
                <w:rFonts w:asciiTheme="minorHAnsi" w:hAnsiTheme="minorHAnsi" w:cstheme="minorHAnsi"/>
              </w:rPr>
            </w:pPr>
            <w:r>
              <w:rPr>
                <w:rFonts w:asciiTheme="minorHAnsi" w:hAnsiTheme="minorHAnsi" w:cstheme="minorHAnsi"/>
              </w:rPr>
              <w:t>29</w:t>
            </w:r>
          </w:p>
        </w:tc>
        <w:tc>
          <w:tcPr>
            <w:tcW w:w="2864" w:type="dxa"/>
          </w:tcPr>
          <w:p w14:paraId="5E0AE3CB" w14:textId="47F20F6A" w:rsidR="00F94E61" w:rsidRPr="00DC32F9" w:rsidRDefault="000C67BF" w:rsidP="00570352">
            <w:pPr>
              <w:pStyle w:val="1bodycopy"/>
              <w:rPr>
                <w:rFonts w:asciiTheme="minorHAnsi" w:hAnsiTheme="minorHAnsi" w:cstheme="minorHAnsi"/>
              </w:rPr>
            </w:pPr>
            <w:r>
              <w:rPr>
                <w:rFonts w:asciiTheme="minorHAnsi" w:hAnsiTheme="minorHAnsi" w:cstheme="minorHAnsi"/>
              </w:rPr>
              <w:t>5</w:t>
            </w:r>
          </w:p>
        </w:tc>
        <w:tc>
          <w:tcPr>
            <w:tcW w:w="2863" w:type="dxa"/>
          </w:tcPr>
          <w:p w14:paraId="62D1B8FD" w14:textId="7281048A" w:rsidR="00F94E61" w:rsidRPr="00DC32F9" w:rsidRDefault="000C67BF" w:rsidP="00570352">
            <w:pPr>
              <w:pStyle w:val="1bodycopy"/>
              <w:rPr>
                <w:rFonts w:asciiTheme="minorHAnsi" w:hAnsiTheme="minorHAnsi" w:cstheme="minorHAnsi"/>
              </w:rPr>
            </w:pPr>
            <w:r>
              <w:rPr>
                <w:rFonts w:asciiTheme="minorHAnsi" w:hAnsiTheme="minorHAnsi" w:cstheme="minorHAnsi"/>
              </w:rPr>
              <w:t>0</w:t>
            </w:r>
          </w:p>
        </w:tc>
        <w:tc>
          <w:tcPr>
            <w:tcW w:w="2864" w:type="dxa"/>
          </w:tcPr>
          <w:p w14:paraId="22B29E60" w14:textId="10CEC5E0" w:rsidR="007D11FC" w:rsidRPr="00DC32F9" w:rsidRDefault="00DB2D1C" w:rsidP="00570352">
            <w:pPr>
              <w:pStyle w:val="1bodycopy"/>
              <w:rPr>
                <w:rFonts w:asciiTheme="minorHAnsi" w:hAnsiTheme="minorHAnsi" w:cstheme="minorHAnsi"/>
              </w:rPr>
            </w:pPr>
            <w:r>
              <w:rPr>
                <w:rFonts w:asciiTheme="minorHAnsi" w:hAnsiTheme="minorHAnsi" w:cstheme="minorHAnsi"/>
              </w:rPr>
              <w:t>34</w:t>
            </w:r>
            <w:r w:rsidR="003B02BB">
              <w:rPr>
                <w:rFonts w:asciiTheme="minorHAnsi" w:hAnsiTheme="minorHAnsi" w:cstheme="minorHAnsi"/>
              </w:rPr>
              <w:t xml:space="preserve"> </w:t>
            </w:r>
          </w:p>
        </w:tc>
      </w:tr>
      <w:tr w:rsidR="002C3F64" w14:paraId="34DCFA78" w14:textId="77777777" w:rsidTr="00501855">
        <w:tc>
          <w:tcPr>
            <w:tcW w:w="1129" w:type="dxa"/>
          </w:tcPr>
          <w:p w14:paraId="78EE10CB" w14:textId="257ED93C" w:rsidR="002C3F64" w:rsidRDefault="004536D1" w:rsidP="00570352">
            <w:pPr>
              <w:pStyle w:val="1bodycopy"/>
              <w:rPr>
                <w:rFonts w:ascii="Calibri" w:hAnsi="Calibri" w:cs="Calibri"/>
              </w:rPr>
            </w:pPr>
            <w:r>
              <w:rPr>
                <w:rFonts w:ascii="Calibri" w:hAnsi="Calibri" w:cs="Calibri"/>
              </w:rPr>
              <w:t>Y</w:t>
            </w:r>
            <w:r w:rsidR="002C3F64">
              <w:rPr>
                <w:rFonts w:ascii="Calibri" w:hAnsi="Calibri" w:cs="Calibri"/>
              </w:rPr>
              <w:t>12-1</w:t>
            </w:r>
            <w:r w:rsidR="003F1549">
              <w:rPr>
                <w:rFonts w:ascii="Calibri" w:hAnsi="Calibri" w:cs="Calibri"/>
              </w:rPr>
              <w:t>4</w:t>
            </w:r>
          </w:p>
        </w:tc>
        <w:tc>
          <w:tcPr>
            <w:tcW w:w="2863" w:type="dxa"/>
          </w:tcPr>
          <w:p w14:paraId="60073D72" w14:textId="77777777" w:rsidR="002C3F64" w:rsidRDefault="00B41CF8" w:rsidP="00570352">
            <w:pPr>
              <w:pStyle w:val="1bodycopy"/>
              <w:rPr>
                <w:rFonts w:asciiTheme="minorHAnsi" w:hAnsiTheme="minorHAnsi" w:cstheme="minorHAnsi"/>
              </w:rPr>
            </w:pPr>
            <w:r>
              <w:rPr>
                <w:rFonts w:asciiTheme="minorHAnsi" w:hAnsiTheme="minorHAnsi" w:cstheme="minorHAnsi"/>
              </w:rPr>
              <w:t>20</w:t>
            </w:r>
          </w:p>
        </w:tc>
        <w:tc>
          <w:tcPr>
            <w:tcW w:w="2863" w:type="dxa"/>
          </w:tcPr>
          <w:p w14:paraId="10CD2871" w14:textId="081BB98B" w:rsidR="002C3F64" w:rsidRPr="00DC32F9" w:rsidRDefault="00925ECD" w:rsidP="00570352">
            <w:pPr>
              <w:pStyle w:val="1bodycopy"/>
              <w:rPr>
                <w:rFonts w:asciiTheme="minorHAnsi" w:hAnsiTheme="minorHAnsi" w:cstheme="minorHAnsi"/>
              </w:rPr>
            </w:pPr>
            <w:r>
              <w:rPr>
                <w:rFonts w:asciiTheme="minorHAnsi" w:hAnsiTheme="minorHAnsi" w:cstheme="minorHAnsi"/>
              </w:rPr>
              <w:t>0</w:t>
            </w:r>
          </w:p>
        </w:tc>
        <w:tc>
          <w:tcPr>
            <w:tcW w:w="2864" w:type="dxa"/>
          </w:tcPr>
          <w:p w14:paraId="29952B5A" w14:textId="48C0D99D" w:rsidR="002C3F64" w:rsidRPr="00DC32F9" w:rsidRDefault="00FD1620" w:rsidP="00570352">
            <w:pPr>
              <w:pStyle w:val="1bodycopy"/>
              <w:rPr>
                <w:rFonts w:asciiTheme="minorHAnsi" w:hAnsiTheme="minorHAnsi" w:cstheme="minorHAnsi"/>
              </w:rPr>
            </w:pPr>
            <w:r>
              <w:rPr>
                <w:rFonts w:asciiTheme="minorHAnsi" w:hAnsiTheme="minorHAnsi" w:cstheme="minorHAnsi"/>
              </w:rPr>
              <w:t>4</w:t>
            </w:r>
          </w:p>
        </w:tc>
        <w:tc>
          <w:tcPr>
            <w:tcW w:w="2863" w:type="dxa"/>
          </w:tcPr>
          <w:p w14:paraId="5AACED4A" w14:textId="77777777" w:rsidR="002C3F64" w:rsidRPr="00DC32F9" w:rsidRDefault="00DB2D1C" w:rsidP="00570352">
            <w:pPr>
              <w:pStyle w:val="1bodycopy"/>
              <w:rPr>
                <w:rFonts w:asciiTheme="minorHAnsi" w:hAnsiTheme="minorHAnsi" w:cstheme="minorHAnsi"/>
              </w:rPr>
            </w:pPr>
            <w:r>
              <w:rPr>
                <w:rFonts w:asciiTheme="minorHAnsi" w:hAnsiTheme="minorHAnsi" w:cstheme="minorHAnsi"/>
              </w:rPr>
              <w:t>0</w:t>
            </w:r>
          </w:p>
        </w:tc>
        <w:tc>
          <w:tcPr>
            <w:tcW w:w="2864" w:type="dxa"/>
          </w:tcPr>
          <w:p w14:paraId="371828AB" w14:textId="4A4B0A95" w:rsidR="002C3F64" w:rsidRDefault="00925ECD" w:rsidP="00570352">
            <w:pPr>
              <w:pStyle w:val="1bodycopy"/>
              <w:rPr>
                <w:rFonts w:asciiTheme="minorHAnsi" w:hAnsiTheme="minorHAnsi" w:cstheme="minorHAnsi"/>
              </w:rPr>
            </w:pPr>
            <w:r>
              <w:rPr>
                <w:rFonts w:asciiTheme="minorHAnsi" w:hAnsiTheme="minorHAnsi" w:cstheme="minorHAnsi"/>
              </w:rPr>
              <w:t>0</w:t>
            </w:r>
          </w:p>
        </w:tc>
      </w:tr>
      <w:tr w:rsidR="00F94E61" w14:paraId="1AECCC5B" w14:textId="77777777" w:rsidTr="00501855">
        <w:tc>
          <w:tcPr>
            <w:tcW w:w="1129" w:type="dxa"/>
          </w:tcPr>
          <w:p w14:paraId="1C8198F9" w14:textId="77777777" w:rsidR="00F94E61" w:rsidRDefault="00F94E61" w:rsidP="00570352">
            <w:pPr>
              <w:pStyle w:val="1bodycopy"/>
              <w:rPr>
                <w:rFonts w:ascii="Calibri" w:hAnsi="Calibri" w:cs="Calibri"/>
              </w:rPr>
            </w:pPr>
            <w:r>
              <w:rPr>
                <w:rFonts w:ascii="Calibri" w:hAnsi="Calibri" w:cs="Calibri"/>
              </w:rPr>
              <w:t>Boys</w:t>
            </w:r>
          </w:p>
          <w:p w14:paraId="32D657F5" w14:textId="77777777" w:rsidR="00F94E61" w:rsidRDefault="00F94E61" w:rsidP="00570352">
            <w:pPr>
              <w:pStyle w:val="1bodycopy"/>
              <w:rPr>
                <w:rFonts w:ascii="Calibri" w:hAnsi="Calibri" w:cs="Calibri"/>
              </w:rPr>
            </w:pPr>
          </w:p>
        </w:tc>
        <w:tc>
          <w:tcPr>
            <w:tcW w:w="2863" w:type="dxa"/>
          </w:tcPr>
          <w:p w14:paraId="63F92120" w14:textId="736AB2A8" w:rsidR="00F94E61" w:rsidRPr="00DC32F9" w:rsidRDefault="00DF7105" w:rsidP="00570352">
            <w:pPr>
              <w:pStyle w:val="1bodycopy"/>
              <w:rPr>
                <w:rFonts w:asciiTheme="minorHAnsi" w:hAnsiTheme="minorHAnsi" w:cstheme="minorHAnsi"/>
              </w:rPr>
            </w:pPr>
            <w:r>
              <w:rPr>
                <w:rFonts w:asciiTheme="minorHAnsi" w:hAnsiTheme="minorHAnsi" w:cstheme="minorHAnsi"/>
              </w:rPr>
              <w:t>103</w:t>
            </w:r>
            <w:r w:rsidR="00EB0E50">
              <w:rPr>
                <w:rFonts w:asciiTheme="minorHAnsi" w:hAnsiTheme="minorHAnsi" w:cstheme="minorHAnsi"/>
              </w:rPr>
              <w:t xml:space="preserve"> </w:t>
            </w:r>
          </w:p>
        </w:tc>
        <w:tc>
          <w:tcPr>
            <w:tcW w:w="2863" w:type="dxa"/>
            <w:shd w:val="clear" w:color="auto" w:fill="E7E6E6" w:themeFill="background2"/>
          </w:tcPr>
          <w:p w14:paraId="6778C1A2" w14:textId="77777777" w:rsidR="00F94E61" w:rsidRPr="00DC32F9" w:rsidRDefault="00F94E61" w:rsidP="00570352">
            <w:pPr>
              <w:pStyle w:val="1bodycopy"/>
              <w:rPr>
                <w:rFonts w:asciiTheme="minorHAnsi" w:hAnsiTheme="minorHAnsi" w:cstheme="minorHAnsi"/>
              </w:rPr>
            </w:pPr>
          </w:p>
        </w:tc>
        <w:tc>
          <w:tcPr>
            <w:tcW w:w="2864" w:type="dxa"/>
            <w:shd w:val="clear" w:color="auto" w:fill="E7E6E6" w:themeFill="background2"/>
          </w:tcPr>
          <w:p w14:paraId="1EA94B1B" w14:textId="77777777" w:rsidR="00F94E61" w:rsidRPr="00DC32F9" w:rsidRDefault="00F94E61" w:rsidP="00570352">
            <w:pPr>
              <w:pStyle w:val="1bodycopy"/>
              <w:rPr>
                <w:rFonts w:asciiTheme="minorHAnsi" w:hAnsiTheme="minorHAnsi" w:cstheme="minorHAnsi"/>
              </w:rPr>
            </w:pPr>
          </w:p>
        </w:tc>
        <w:tc>
          <w:tcPr>
            <w:tcW w:w="2863" w:type="dxa"/>
            <w:shd w:val="clear" w:color="auto" w:fill="E7E6E6" w:themeFill="background2"/>
          </w:tcPr>
          <w:p w14:paraId="5FB309D2" w14:textId="77777777" w:rsidR="00F94E61" w:rsidRPr="00DC32F9" w:rsidRDefault="00F94E61" w:rsidP="00570352">
            <w:pPr>
              <w:pStyle w:val="1bodycopy"/>
              <w:rPr>
                <w:rFonts w:asciiTheme="minorHAnsi" w:hAnsiTheme="minorHAnsi" w:cstheme="minorHAnsi"/>
              </w:rPr>
            </w:pPr>
          </w:p>
        </w:tc>
        <w:tc>
          <w:tcPr>
            <w:tcW w:w="2864" w:type="dxa"/>
          </w:tcPr>
          <w:p w14:paraId="728CB446" w14:textId="62DB440E" w:rsidR="007D11FC" w:rsidRPr="00DC32F9" w:rsidRDefault="00EB0E50" w:rsidP="00570352">
            <w:pPr>
              <w:pStyle w:val="1bodycopy"/>
              <w:rPr>
                <w:rFonts w:asciiTheme="minorHAnsi" w:hAnsiTheme="minorHAnsi" w:cstheme="minorHAnsi"/>
              </w:rPr>
            </w:pPr>
            <w:r>
              <w:rPr>
                <w:rFonts w:asciiTheme="minorHAnsi" w:hAnsiTheme="minorHAnsi" w:cstheme="minorHAnsi"/>
              </w:rPr>
              <w:t xml:space="preserve">47 </w:t>
            </w:r>
          </w:p>
        </w:tc>
      </w:tr>
      <w:tr w:rsidR="00F94E61" w14:paraId="0EBDD964" w14:textId="77777777" w:rsidTr="00501855">
        <w:tc>
          <w:tcPr>
            <w:tcW w:w="1129" w:type="dxa"/>
          </w:tcPr>
          <w:p w14:paraId="09687A55" w14:textId="77777777" w:rsidR="00F94E61" w:rsidRDefault="00F94E61" w:rsidP="00570352">
            <w:pPr>
              <w:pStyle w:val="1bodycopy"/>
              <w:rPr>
                <w:rFonts w:ascii="Calibri" w:hAnsi="Calibri" w:cs="Calibri"/>
              </w:rPr>
            </w:pPr>
            <w:r>
              <w:rPr>
                <w:rFonts w:ascii="Calibri" w:hAnsi="Calibri" w:cs="Calibri"/>
              </w:rPr>
              <w:t>Girls</w:t>
            </w:r>
          </w:p>
          <w:p w14:paraId="0829B5FF" w14:textId="77777777" w:rsidR="00F94E61" w:rsidRDefault="00F94E61" w:rsidP="00570352">
            <w:pPr>
              <w:pStyle w:val="1bodycopy"/>
              <w:rPr>
                <w:rFonts w:ascii="Calibri" w:hAnsi="Calibri" w:cs="Calibri"/>
              </w:rPr>
            </w:pPr>
          </w:p>
        </w:tc>
        <w:tc>
          <w:tcPr>
            <w:tcW w:w="2863" w:type="dxa"/>
          </w:tcPr>
          <w:p w14:paraId="4337A412" w14:textId="5F54C866" w:rsidR="00F94E61" w:rsidRPr="00DC32F9" w:rsidRDefault="00DF7105" w:rsidP="00DB2D1C">
            <w:pPr>
              <w:pStyle w:val="1bodycopy"/>
              <w:jc w:val="both"/>
              <w:rPr>
                <w:rFonts w:asciiTheme="minorHAnsi" w:hAnsiTheme="minorHAnsi" w:cstheme="minorHAnsi"/>
              </w:rPr>
            </w:pPr>
            <w:r>
              <w:rPr>
                <w:rFonts w:asciiTheme="minorHAnsi" w:hAnsiTheme="minorHAnsi" w:cstheme="minorHAnsi"/>
              </w:rPr>
              <w:t>55</w:t>
            </w:r>
            <w:r w:rsidR="00EB0E50">
              <w:rPr>
                <w:rFonts w:asciiTheme="minorHAnsi" w:hAnsiTheme="minorHAnsi" w:cstheme="minorHAnsi"/>
              </w:rPr>
              <w:t xml:space="preserve"> </w:t>
            </w:r>
          </w:p>
        </w:tc>
        <w:tc>
          <w:tcPr>
            <w:tcW w:w="2863" w:type="dxa"/>
            <w:shd w:val="clear" w:color="auto" w:fill="E7E6E6" w:themeFill="background2"/>
          </w:tcPr>
          <w:p w14:paraId="489E155D" w14:textId="77777777" w:rsidR="00F94E61" w:rsidRPr="00DC32F9" w:rsidRDefault="00F94E61" w:rsidP="00570352">
            <w:pPr>
              <w:pStyle w:val="1bodycopy"/>
              <w:rPr>
                <w:rFonts w:asciiTheme="minorHAnsi" w:hAnsiTheme="minorHAnsi" w:cstheme="minorHAnsi"/>
              </w:rPr>
            </w:pPr>
          </w:p>
        </w:tc>
        <w:tc>
          <w:tcPr>
            <w:tcW w:w="2864" w:type="dxa"/>
            <w:shd w:val="clear" w:color="auto" w:fill="E7E6E6" w:themeFill="background2"/>
          </w:tcPr>
          <w:p w14:paraId="73A66DEB" w14:textId="77777777" w:rsidR="00F94E61" w:rsidRPr="00DC32F9" w:rsidRDefault="00F94E61" w:rsidP="00570352">
            <w:pPr>
              <w:pStyle w:val="1bodycopy"/>
              <w:rPr>
                <w:rFonts w:asciiTheme="minorHAnsi" w:hAnsiTheme="minorHAnsi" w:cstheme="minorHAnsi"/>
              </w:rPr>
            </w:pPr>
          </w:p>
        </w:tc>
        <w:tc>
          <w:tcPr>
            <w:tcW w:w="2863" w:type="dxa"/>
            <w:shd w:val="clear" w:color="auto" w:fill="E7E6E6" w:themeFill="background2"/>
          </w:tcPr>
          <w:p w14:paraId="52D3C81B" w14:textId="77777777" w:rsidR="00F94E61" w:rsidRPr="00DC32F9" w:rsidRDefault="00F94E61" w:rsidP="00570352">
            <w:pPr>
              <w:pStyle w:val="1bodycopy"/>
              <w:rPr>
                <w:rFonts w:asciiTheme="minorHAnsi" w:hAnsiTheme="minorHAnsi" w:cstheme="minorHAnsi"/>
              </w:rPr>
            </w:pPr>
          </w:p>
        </w:tc>
        <w:tc>
          <w:tcPr>
            <w:tcW w:w="2864" w:type="dxa"/>
          </w:tcPr>
          <w:p w14:paraId="21B097D7" w14:textId="4D1968EE" w:rsidR="007D11FC" w:rsidRPr="00DC32F9" w:rsidRDefault="008E6D38" w:rsidP="00570352">
            <w:pPr>
              <w:pStyle w:val="1bodycopy"/>
              <w:rPr>
                <w:rFonts w:asciiTheme="minorHAnsi" w:hAnsiTheme="minorHAnsi" w:cstheme="minorHAnsi"/>
              </w:rPr>
            </w:pPr>
            <w:r>
              <w:rPr>
                <w:rFonts w:asciiTheme="minorHAnsi" w:hAnsiTheme="minorHAnsi" w:cstheme="minorHAnsi"/>
              </w:rPr>
              <w:t>28</w:t>
            </w:r>
            <w:r w:rsidR="00EB0E50">
              <w:rPr>
                <w:rFonts w:asciiTheme="minorHAnsi" w:hAnsiTheme="minorHAnsi" w:cstheme="minorHAnsi"/>
              </w:rPr>
              <w:t xml:space="preserve"> </w:t>
            </w:r>
          </w:p>
        </w:tc>
      </w:tr>
      <w:tr w:rsidR="00F94E61" w14:paraId="4AD4AF63" w14:textId="77777777" w:rsidTr="00501855">
        <w:tc>
          <w:tcPr>
            <w:tcW w:w="1129" w:type="dxa"/>
          </w:tcPr>
          <w:p w14:paraId="24499358" w14:textId="77777777" w:rsidR="00F94E61" w:rsidRDefault="00F94E61" w:rsidP="00570352">
            <w:pPr>
              <w:pStyle w:val="1bodycopy"/>
              <w:rPr>
                <w:rFonts w:ascii="Calibri" w:hAnsi="Calibri" w:cs="Calibri"/>
              </w:rPr>
            </w:pPr>
            <w:r>
              <w:rPr>
                <w:rFonts w:ascii="Calibri" w:hAnsi="Calibri" w:cs="Calibri"/>
              </w:rPr>
              <w:t>Whole school</w:t>
            </w:r>
          </w:p>
          <w:p w14:paraId="35A64B6B" w14:textId="77777777" w:rsidR="00F94E61" w:rsidRDefault="00F94E61" w:rsidP="00570352">
            <w:pPr>
              <w:pStyle w:val="1bodycopy"/>
              <w:rPr>
                <w:rFonts w:ascii="Calibri" w:hAnsi="Calibri" w:cs="Calibri"/>
              </w:rPr>
            </w:pPr>
          </w:p>
        </w:tc>
        <w:tc>
          <w:tcPr>
            <w:tcW w:w="2863" w:type="dxa"/>
          </w:tcPr>
          <w:p w14:paraId="47A82768" w14:textId="77777777" w:rsidR="00F94E61" w:rsidRPr="00DC32F9" w:rsidRDefault="00D24726" w:rsidP="00570352">
            <w:pPr>
              <w:pStyle w:val="1bodycopy"/>
              <w:rPr>
                <w:rFonts w:asciiTheme="minorHAnsi" w:hAnsiTheme="minorHAnsi" w:cstheme="minorHAnsi"/>
              </w:rPr>
            </w:pPr>
            <w:r>
              <w:rPr>
                <w:rFonts w:asciiTheme="minorHAnsi" w:hAnsiTheme="minorHAnsi" w:cstheme="minorHAnsi"/>
              </w:rPr>
              <w:t>158</w:t>
            </w:r>
          </w:p>
        </w:tc>
        <w:tc>
          <w:tcPr>
            <w:tcW w:w="2863" w:type="dxa"/>
          </w:tcPr>
          <w:p w14:paraId="18FC8AF7" w14:textId="30E3B672" w:rsidR="00F94E61" w:rsidRPr="00DC32F9" w:rsidRDefault="000C67BF" w:rsidP="00570352">
            <w:pPr>
              <w:pStyle w:val="1bodycopy"/>
              <w:rPr>
                <w:rFonts w:asciiTheme="minorHAnsi" w:hAnsiTheme="minorHAnsi" w:cstheme="minorHAnsi"/>
              </w:rPr>
            </w:pPr>
            <w:r>
              <w:rPr>
                <w:rFonts w:asciiTheme="minorHAnsi" w:hAnsiTheme="minorHAnsi" w:cstheme="minorHAnsi"/>
              </w:rPr>
              <w:t>73</w:t>
            </w:r>
          </w:p>
        </w:tc>
        <w:tc>
          <w:tcPr>
            <w:tcW w:w="2864" w:type="dxa"/>
          </w:tcPr>
          <w:p w14:paraId="2B6BD277" w14:textId="12694001" w:rsidR="00F94E61" w:rsidRPr="00DC32F9" w:rsidRDefault="0088517B" w:rsidP="00570352">
            <w:pPr>
              <w:pStyle w:val="1bodycopy"/>
              <w:rPr>
                <w:rFonts w:asciiTheme="minorHAnsi" w:hAnsiTheme="minorHAnsi" w:cstheme="minorHAnsi"/>
              </w:rPr>
            </w:pPr>
            <w:r>
              <w:rPr>
                <w:rFonts w:asciiTheme="minorHAnsi" w:hAnsiTheme="minorHAnsi" w:cstheme="minorHAnsi"/>
              </w:rPr>
              <w:t>11</w:t>
            </w:r>
            <w:bookmarkStart w:id="1" w:name="_GoBack"/>
            <w:bookmarkEnd w:id="1"/>
          </w:p>
        </w:tc>
        <w:tc>
          <w:tcPr>
            <w:tcW w:w="2863" w:type="dxa"/>
          </w:tcPr>
          <w:p w14:paraId="6275E390" w14:textId="77777777" w:rsidR="00F94E61" w:rsidRPr="00DC32F9" w:rsidRDefault="00567AD0" w:rsidP="00570352">
            <w:pPr>
              <w:pStyle w:val="1bodycopy"/>
              <w:rPr>
                <w:rFonts w:asciiTheme="minorHAnsi" w:hAnsiTheme="minorHAnsi" w:cstheme="minorHAnsi"/>
              </w:rPr>
            </w:pPr>
            <w:r>
              <w:rPr>
                <w:rFonts w:asciiTheme="minorHAnsi" w:hAnsiTheme="minorHAnsi" w:cstheme="minorHAnsi"/>
              </w:rPr>
              <w:t>1</w:t>
            </w:r>
          </w:p>
        </w:tc>
        <w:tc>
          <w:tcPr>
            <w:tcW w:w="2864" w:type="dxa"/>
          </w:tcPr>
          <w:p w14:paraId="5FA7FE53" w14:textId="5298DB14" w:rsidR="007D11FC" w:rsidRPr="00DC32F9" w:rsidRDefault="00DB2D1C" w:rsidP="00570352">
            <w:pPr>
              <w:pStyle w:val="1bodycopy"/>
              <w:rPr>
                <w:rFonts w:asciiTheme="minorHAnsi" w:hAnsiTheme="minorHAnsi" w:cstheme="minorHAnsi"/>
              </w:rPr>
            </w:pPr>
            <w:r>
              <w:rPr>
                <w:rFonts w:asciiTheme="minorHAnsi" w:hAnsiTheme="minorHAnsi" w:cstheme="minorHAnsi"/>
              </w:rPr>
              <w:t>7</w:t>
            </w:r>
            <w:r w:rsidR="00B40964">
              <w:rPr>
                <w:rFonts w:asciiTheme="minorHAnsi" w:hAnsiTheme="minorHAnsi" w:cstheme="minorHAnsi"/>
              </w:rPr>
              <w:t>4</w:t>
            </w:r>
            <w:r w:rsidR="003B02BB">
              <w:rPr>
                <w:rFonts w:asciiTheme="minorHAnsi" w:hAnsiTheme="minorHAnsi" w:cstheme="minorHAnsi"/>
              </w:rPr>
              <w:t xml:space="preserve"> </w:t>
            </w:r>
          </w:p>
        </w:tc>
      </w:tr>
      <w:bookmarkEnd w:id="0"/>
    </w:tbl>
    <w:p w14:paraId="5C593EC2" w14:textId="77777777" w:rsidR="00590F46" w:rsidRDefault="00590F46">
      <w:pPr>
        <w:rPr>
          <w:rFonts w:ascii="L2L-Sassoon Primary" w:hAnsi="L2L-Sassoon Primary"/>
        </w:rPr>
      </w:pPr>
    </w:p>
    <w:tbl>
      <w:tblPr>
        <w:tblW w:w="154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746"/>
        <w:gridCol w:w="3747"/>
        <w:gridCol w:w="3747"/>
        <w:gridCol w:w="4206"/>
      </w:tblGrid>
      <w:tr w:rsidR="00F94E61" w:rsidRPr="00F94E61" w14:paraId="5913C085" w14:textId="77777777" w:rsidTr="00F94E61">
        <w:trPr>
          <w:cantSplit/>
          <w:tblHeader/>
        </w:trPr>
        <w:tc>
          <w:tcPr>
            <w:tcW w:w="15446"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BDBDFF"/>
            <w:tcMar>
              <w:top w:w="113" w:type="dxa"/>
              <w:bottom w:w="113" w:type="dxa"/>
            </w:tcMar>
          </w:tcPr>
          <w:p w14:paraId="66C9717D" w14:textId="77777777" w:rsidR="00F94E61" w:rsidRPr="00F94E61" w:rsidRDefault="00F94E61" w:rsidP="00F94E61">
            <w:pPr>
              <w:spacing w:after="120"/>
              <w:jc w:val="center"/>
              <w:rPr>
                <w:rFonts w:ascii="Calibri" w:hAnsi="Calibri" w:cs="Calibri"/>
                <w:b/>
                <w:caps/>
                <w:color w:val="002060"/>
                <w:sz w:val="28"/>
                <w:szCs w:val="28"/>
              </w:rPr>
            </w:pPr>
            <w:r w:rsidRPr="00F94E61">
              <w:rPr>
                <w:rFonts w:ascii="Calibri" w:hAnsi="Calibri" w:cs="Calibri"/>
                <w:b/>
                <w:caps/>
                <w:color w:val="002060"/>
                <w:sz w:val="28"/>
                <w:szCs w:val="28"/>
              </w:rPr>
              <w:t>Review of the academic year 2021-2022</w:t>
            </w:r>
          </w:p>
        </w:tc>
      </w:tr>
      <w:tr w:rsidR="00F94E61" w:rsidRPr="00F94E61" w14:paraId="0891C076" w14:textId="77777777" w:rsidTr="00F94E61">
        <w:trPr>
          <w:cantSplit/>
        </w:trPr>
        <w:tc>
          <w:tcPr>
            <w:tcW w:w="3746" w:type="dxa"/>
            <w:shd w:val="clear" w:color="auto" w:fill="auto"/>
            <w:tcMar>
              <w:top w:w="113" w:type="dxa"/>
              <w:bottom w:w="113" w:type="dxa"/>
            </w:tcMar>
          </w:tcPr>
          <w:p w14:paraId="65CD8EAC" w14:textId="77777777" w:rsidR="00F94E61" w:rsidRPr="00F94E61" w:rsidRDefault="00F94E61" w:rsidP="00F94E61">
            <w:pPr>
              <w:spacing w:after="120"/>
              <w:jc w:val="center"/>
              <w:rPr>
                <w:rFonts w:asciiTheme="minorHAnsi" w:hAnsiTheme="minorHAnsi" w:cstheme="minorHAnsi"/>
                <w:sz w:val="20"/>
              </w:rPr>
            </w:pPr>
            <w:bookmarkStart w:id="2" w:name="_Hlk121136096"/>
            <w:r w:rsidRPr="00F94E61">
              <w:rPr>
                <w:rFonts w:asciiTheme="minorHAnsi" w:hAnsiTheme="minorHAnsi" w:cstheme="minorHAnsi"/>
                <w:sz w:val="20"/>
              </w:rPr>
              <w:t>Summary of objectives</w:t>
            </w:r>
          </w:p>
        </w:tc>
        <w:tc>
          <w:tcPr>
            <w:tcW w:w="3747" w:type="dxa"/>
            <w:shd w:val="clear" w:color="auto" w:fill="auto"/>
            <w:tcMar>
              <w:top w:w="113" w:type="dxa"/>
              <w:bottom w:w="113" w:type="dxa"/>
            </w:tcMar>
          </w:tcPr>
          <w:p w14:paraId="19E74CF4" w14:textId="77777777" w:rsidR="00F94E61" w:rsidRPr="00F94E61" w:rsidRDefault="00F94E61" w:rsidP="00F94E61">
            <w:pPr>
              <w:spacing w:after="120"/>
              <w:jc w:val="center"/>
              <w:rPr>
                <w:rFonts w:asciiTheme="minorHAnsi" w:hAnsiTheme="minorHAnsi" w:cstheme="minorHAnsi"/>
                <w:sz w:val="20"/>
              </w:rPr>
            </w:pPr>
            <w:r w:rsidRPr="00F94E61">
              <w:rPr>
                <w:rFonts w:asciiTheme="minorHAnsi" w:hAnsiTheme="minorHAnsi" w:cstheme="minorHAnsi"/>
                <w:sz w:val="20"/>
              </w:rPr>
              <w:t>Summary of expenditure</w:t>
            </w:r>
          </w:p>
        </w:tc>
        <w:tc>
          <w:tcPr>
            <w:tcW w:w="3747" w:type="dxa"/>
            <w:shd w:val="clear" w:color="auto" w:fill="auto"/>
            <w:tcMar>
              <w:top w:w="113" w:type="dxa"/>
              <w:bottom w:w="113" w:type="dxa"/>
            </w:tcMar>
          </w:tcPr>
          <w:p w14:paraId="597FF8C4" w14:textId="77777777" w:rsidR="00F94E61" w:rsidRPr="00F94E61" w:rsidRDefault="00F94E61" w:rsidP="00F94E61">
            <w:pPr>
              <w:spacing w:after="120"/>
              <w:jc w:val="center"/>
              <w:rPr>
                <w:rFonts w:asciiTheme="minorHAnsi" w:hAnsiTheme="minorHAnsi" w:cstheme="minorHAnsi"/>
                <w:sz w:val="20"/>
              </w:rPr>
            </w:pPr>
            <w:r w:rsidRPr="00F94E61">
              <w:rPr>
                <w:rFonts w:asciiTheme="minorHAnsi" w:hAnsiTheme="minorHAnsi" w:cstheme="minorHAnsi"/>
                <w:sz w:val="20"/>
              </w:rPr>
              <w:t>Impact on progress and attainment of eligible pupils</w:t>
            </w:r>
          </w:p>
        </w:tc>
        <w:tc>
          <w:tcPr>
            <w:tcW w:w="4206" w:type="dxa"/>
            <w:shd w:val="clear" w:color="auto" w:fill="auto"/>
            <w:tcMar>
              <w:top w:w="113" w:type="dxa"/>
              <w:bottom w:w="113" w:type="dxa"/>
            </w:tcMar>
          </w:tcPr>
          <w:p w14:paraId="1D776606" w14:textId="77777777" w:rsidR="00F94E61" w:rsidRPr="00F94E61" w:rsidRDefault="00F94E61" w:rsidP="00F94E61">
            <w:pPr>
              <w:spacing w:after="120"/>
              <w:jc w:val="center"/>
              <w:rPr>
                <w:rFonts w:asciiTheme="minorHAnsi" w:hAnsiTheme="minorHAnsi" w:cstheme="minorHAnsi"/>
                <w:sz w:val="20"/>
              </w:rPr>
            </w:pPr>
            <w:r w:rsidRPr="00F94E61">
              <w:rPr>
                <w:rFonts w:asciiTheme="minorHAnsi" w:hAnsiTheme="minorHAnsi" w:cstheme="minorHAnsi"/>
                <w:sz w:val="20"/>
              </w:rPr>
              <w:t>Comments</w:t>
            </w:r>
          </w:p>
        </w:tc>
      </w:tr>
      <w:tr w:rsidR="00F94E61" w:rsidRPr="00F94E61" w14:paraId="2B56D282" w14:textId="77777777" w:rsidTr="00F94E61">
        <w:trPr>
          <w:cantSplit/>
        </w:trPr>
        <w:tc>
          <w:tcPr>
            <w:tcW w:w="3746" w:type="dxa"/>
            <w:shd w:val="clear" w:color="auto" w:fill="auto"/>
            <w:tcMar>
              <w:top w:w="113" w:type="dxa"/>
              <w:bottom w:w="113" w:type="dxa"/>
            </w:tcMar>
          </w:tcPr>
          <w:p w14:paraId="5A911EE5" w14:textId="77777777" w:rsidR="00F94E61" w:rsidRDefault="003E684E" w:rsidP="00F94E61">
            <w:pPr>
              <w:spacing w:after="120"/>
            </w:pPr>
            <w:r>
              <w:lastRenderedPageBreak/>
              <w:t>Disadvantaged pupils do as well or better than their peers in their Home School Agreement Targets, relative to their starting points as identified through baseline assessments</w:t>
            </w:r>
          </w:p>
          <w:p w14:paraId="0C5B2198" w14:textId="77777777" w:rsidR="003E684E" w:rsidRDefault="003E684E" w:rsidP="00F94E61">
            <w:pPr>
              <w:spacing w:after="120"/>
            </w:pPr>
            <w:r>
              <w:t>Disadvantaged pupils do as well or better than their peers and in their phonics’ assessments, relative to their starting points as identified through baseline assessments.</w:t>
            </w:r>
          </w:p>
          <w:p w14:paraId="2FE28A79" w14:textId="77777777" w:rsidR="00922CFF" w:rsidRDefault="00922CFF" w:rsidP="00F94E61">
            <w:pPr>
              <w:spacing w:after="120"/>
            </w:pPr>
          </w:p>
          <w:p w14:paraId="1F247500" w14:textId="7BD83126" w:rsidR="00D95C7E" w:rsidRDefault="003E684E" w:rsidP="00F94E61">
            <w:pPr>
              <w:spacing w:after="120"/>
            </w:pPr>
            <w:r>
              <w:t>To improve pupils as learners and increase their engagement and participation in learning.</w:t>
            </w:r>
          </w:p>
          <w:p w14:paraId="54A93DFE" w14:textId="77777777" w:rsidR="003E684E" w:rsidRDefault="003E684E" w:rsidP="00F94E61">
            <w:pPr>
              <w:spacing w:after="120"/>
            </w:pPr>
            <w:r>
              <w:t>Pupils can access tools and strategies to achieve self –regulation and emotional resiliency</w:t>
            </w:r>
          </w:p>
          <w:p w14:paraId="7BBC0D90" w14:textId="77777777" w:rsidR="00D95C7E" w:rsidRDefault="00D95C7E" w:rsidP="00F94E61">
            <w:pPr>
              <w:spacing w:after="120"/>
            </w:pPr>
          </w:p>
          <w:p w14:paraId="78615AC6" w14:textId="77777777" w:rsidR="00D95C7E" w:rsidRDefault="00D95C7E" w:rsidP="00F94E61">
            <w:pPr>
              <w:spacing w:after="120"/>
            </w:pPr>
          </w:p>
          <w:p w14:paraId="49E45BBC" w14:textId="77777777" w:rsidR="00D95C7E" w:rsidRDefault="00D95C7E" w:rsidP="00F94E61">
            <w:pPr>
              <w:spacing w:after="120"/>
            </w:pPr>
            <w:r>
              <w:t>Increasing cultural capital of disadvantaged pupils</w:t>
            </w:r>
          </w:p>
          <w:p w14:paraId="58A0143C" w14:textId="77777777" w:rsidR="003E684E" w:rsidRPr="00F94E61" w:rsidRDefault="003E684E" w:rsidP="00F94E61">
            <w:pPr>
              <w:spacing w:after="120"/>
            </w:pPr>
          </w:p>
        </w:tc>
        <w:tc>
          <w:tcPr>
            <w:tcW w:w="3747" w:type="dxa"/>
            <w:shd w:val="clear" w:color="auto" w:fill="auto"/>
            <w:tcMar>
              <w:top w:w="113" w:type="dxa"/>
              <w:bottom w:w="113" w:type="dxa"/>
            </w:tcMar>
          </w:tcPr>
          <w:p w14:paraId="103532F1" w14:textId="77777777" w:rsidR="00F94E61" w:rsidRDefault="003E684E" w:rsidP="00F94E61">
            <w:pPr>
              <w:spacing w:after="120"/>
            </w:pPr>
            <w:r>
              <w:t>Pupil premium lead time</w:t>
            </w:r>
          </w:p>
          <w:p w14:paraId="63F005AA" w14:textId="77777777" w:rsidR="003E684E" w:rsidRDefault="00D95C7E" w:rsidP="00F94E61">
            <w:pPr>
              <w:spacing w:after="120"/>
            </w:pPr>
            <w:r>
              <w:t>Tuition targeted at specific needs and knowledge gaps</w:t>
            </w:r>
          </w:p>
          <w:p w14:paraId="0A163ADB" w14:textId="77777777" w:rsidR="00D95C7E" w:rsidRDefault="00D95C7E" w:rsidP="00F94E61">
            <w:pPr>
              <w:spacing w:after="120"/>
            </w:pPr>
          </w:p>
          <w:p w14:paraId="11DC8CD9" w14:textId="77777777" w:rsidR="00D95C7E" w:rsidRDefault="00D95C7E" w:rsidP="00F94E61">
            <w:pPr>
              <w:spacing w:after="120"/>
            </w:pPr>
          </w:p>
          <w:p w14:paraId="55141787" w14:textId="77777777" w:rsidR="00D95C7E" w:rsidRPr="00F94E61" w:rsidRDefault="00D95C7E" w:rsidP="00F94E61">
            <w:pPr>
              <w:spacing w:after="120"/>
            </w:pPr>
            <w:r>
              <w:t>Full time literacy HLTA</w:t>
            </w:r>
          </w:p>
          <w:p w14:paraId="7ED786CE" w14:textId="77777777" w:rsidR="00F94E61" w:rsidRPr="00F94E61" w:rsidRDefault="00F94E61" w:rsidP="00F94E61">
            <w:pPr>
              <w:spacing w:after="120"/>
            </w:pPr>
          </w:p>
          <w:p w14:paraId="2D5B9B33" w14:textId="77777777" w:rsidR="00F94E61" w:rsidRPr="00F94E61" w:rsidRDefault="00F94E61" w:rsidP="00F94E61">
            <w:pPr>
              <w:spacing w:after="120"/>
            </w:pPr>
          </w:p>
          <w:p w14:paraId="2E5DD1DD" w14:textId="77777777" w:rsidR="00D95C7E" w:rsidRDefault="00D95C7E" w:rsidP="00F94E61">
            <w:pPr>
              <w:spacing w:after="120"/>
            </w:pPr>
          </w:p>
          <w:p w14:paraId="5B0208B7" w14:textId="77777777" w:rsidR="00922CFF" w:rsidRDefault="00922CFF" w:rsidP="00F94E61">
            <w:pPr>
              <w:spacing w:after="120"/>
            </w:pPr>
          </w:p>
          <w:p w14:paraId="6048D90F" w14:textId="781535A9" w:rsidR="00D95C7E" w:rsidRPr="00F94E61" w:rsidRDefault="00D95C7E" w:rsidP="00F94E61">
            <w:pPr>
              <w:spacing w:after="120"/>
            </w:pPr>
            <w:r>
              <w:t>Purchase of sensory regulation equipment</w:t>
            </w:r>
          </w:p>
          <w:p w14:paraId="65BC031E" w14:textId="77777777" w:rsidR="00D95C7E" w:rsidRDefault="00D95C7E" w:rsidP="00D95C7E">
            <w:pPr>
              <w:spacing w:after="120"/>
            </w:pPr>
            <w:r>
              <w:t>Family support liaison worker</w:t>
            </w:r>
          </w:p>
          <w:p w14:paraId="78D07A99" w14:textId="77777777" w:rsidR="00F94E61" w:rsidRDefault="00D95C7E" w:rsidP="00F94E61">
            <w:pPr>
              <w:spacing w:after="120"/>
            </w:pPr>
            <w:r>
              <w:t>Funding Advocacy lead and class pupil advocacy champions.</w:t>
            </w:r>
          </w:p>
          <w:p w14:paraId="70FC4494" w14:textId="77777777" w:rsidR="00F94E61" w:rsidRDefault="00D95C7E" w:rsidP="00F94E61">
            <w:pPr>
              <w:spacing w:after="120"/>
            </w:pPr>
            <w:r>
              <w:t>Funding Communication and Decision-Making Team to support with pupils communicating through behavior</w:t>
            </w:r>
          </w:p>
          <w:p w14:paraId="18DFCB7E" w14:textId="77777777" w:rsidR="00D95C7E" w:rsidRPr="00F94E61" w:rsidRDefault="00D95C7E" w:rsidP="00F94E61">
            <w:pPr>
              <w:spacing w:after="120"/>
            </w:pPr>
            <w:r>
              <w:t>Funding towards Outdoor education team to coordinate and lead extracurricular activities. Funding towards trips.</w:t>
            </w:r>
          </w:p>
        </w:tc>
        <w:tc>
          <w:tcPr>
            <w:tcW w:w="3747" w:type="dxa"/>
            <w:shd w:val="clear" w:color="auto" w:fill="auto"/>
            <w:tcMar>
              <w:top w:w="113" w:type="dxa"/>
              <w:bottom w:w="113" w:type="dxa"/>
            </w:tcMar>
          </w:tcPr>
          <w:p w14:paraId="45950057" w14:textId="233DDD3C" w:rsidR="00922CFF" w:rsidRPr="00922CFF" w:rsidRDefault="00922CFF" w:rsidP="00922CFF">
            <w:pPr>
              <w:spacing w:after="160" w:line="259" w:lineRule="auto"/>
              <w:rPr>
                <w:rFonts w:asciiTheme="minorHAnsi" w:eastAsiaTheme="minorHAnsi" w:hAnsiTheme="minorHAnsi" w:cstheme="minorHAnsi"/>
                <w:szCs w:val="22"/>
                <w:lang w:val="en-GB"/>
              </w:rPr>
            </w:pPr>
            <w:r w:rsidRPr="00922CFF">
              <w:rPr>
                <w:rFonts w:asciiTheme="minorHAnsi" w:eastAsiaTheme="minorHAnsi" w:hAnsiTheme="minorHAnsi" w:cstheme="minorHAnsi"/>
                <w:szCs w:val="22"/>
                <w:lang w:val="en-GB"/>
              </w:rPr>
              <w:t>Overall, 51% of non-PP eligible students were assessed at exceeding or secure in their H</w:t>
            </w:r>
            <w:r w:rsidR="009A73D4">
              <w:rPr>
                <w:rFonts w:asciiTheme="minorHAnsi" w:eastAsiaTheme="minorHAnsi" w:hAnsiTheme="minorHAnsi" w:cstheme="minorHAnsi"/>
                <w:szCs w:val="22"/>
                <w:lang w:val="en-GB"/>
              </w:rPr>
              <w:t>SA</w:t>
            </w:r>
            <w:r w:rsidRPr="00922CFF">
              <w:rPr>
                <w:rFonts w:asciiTheme="minorHAnsi" w:eastAsiaTheme="minorHAnsi" w:hAnsiTheme="minorHAnsi" w:cstheme="minorHAnsi"/>
                <w:szCs w:val="22"/>
                <w:lang w:val="en-GB"/>
              </w:rPr>
              <w:t xml:space="preserve"> targets, compared to 49% of pupil premium eligible students. </w:t>
            </w:r>
          </w:p>
          <w:p w14:paraId="6E317E36" w14:textId="756F44CC" w:rsidR="00922CFF" w:rsidRPr="00922CFF" w:rsidRDefault="00922CFF" w:rsidP="00922CFF">
            <w:pPr>
              <w:spacing w:after="160" w:line="259" w:lineRule="auto"/>
              <w:rPr>
                <w:rFonts w:asciiTheme="minorHAnsi" w:eastAsiaTheme="minorHAnsi" w:hAnsiTheme="minorHAnsi" w:cstheme="minorHAnsi"/>
                <w:szCs w:val="22"/>
                <w:lang w:val="en-GB"/>
              </w:rPr>
            </w:pPr>
            <w:r w:rsidRPr="00922CFF">
              <w:rPr>
                <w:rFonts w:asciiTheme="minorHAnsi" w:eastAsiaTheme="minorHAnsi" w:hAnsiTheme="minorHAnsi" w:cstheme="minorHAnsi"/>
                <w:szCs w:val="22"/>
                <w:lang w:val="en-GB"/>
              </w:rPr>
              <w:t xml:space="preserve">There was a slight disadvantage gap in the attainment of English targets in the lower school (51% of non-PP pupils were assessed as secure or exceeding, compared to 39% of PP pupils). </w:t>
            </w:r>
          </w:p>
          <w:p w14:paraId="48BA21D0" w14:textId="471D9A4F" w:rsidR="00F94E61" w:rsidRDefault="00607DB4" w:rsidP="00922CFF">
            <w:pPr>
              <w:spacing w:after="160" w:line="259" w:lineRule="auto"/>
            </w:pPr>
            <w:r>
              <w:t>Hu</w:t>
            </w:r>
            <w:r w:rsidR="000671B9">
              <w:t>b</w:t>
            </w:r>
            <w:r>
              <w:t xml:space="preserve"> spaces have been developed- calming co-regulation space, sensory circuit room. </w:t>
            </w:r>
            <w:r w:rsidR="004F552C">
              <w:t xml:space="preserve">Students are now accessing these spaces, reducing escalation and supporting regulation. 100 intervention targets were set to support SEMH, 50% of these were assessed as secure or exceeding. </w:t>
            </w:r>
          </w:p>
          <w:p w14:paraId="5C8E5FA3" w14:textId="75F26AF8" w:rsidR="004F552C" w:rsidRPr="00F94E61" w:rsidRDefault="002E1476" w:rsidP="00922CFF">
            <w:pPr>
              <w:spacing w:after="160" w:line="259" w:lineRule="auto"/>
            </w:pPr>
            <w:r w:rsidRPr="002E1476">
              <w:t xml:space="preserve">The percentage of pupils at each key stage accessing outdoor learning opportunities is as follows - EYFS/KS1 - 46% </w:t>
            </w:r>
            <w:r>
              <w:t>-</w:t>
            </w:r>
            <w:r w:rsidRPr="002E1476">
              <w:t>10 pupils Shetland pony riding, 4 pupils climbing</w:t>
            </w:r>
            <w:r>
              <w:t xml:space="preserve">. </w:t>
            </w:r>
            <w:r w:rsidRPr="002E1476">
              <w:t xml:space="preserve">KS2 - 95% </w:t>
            </w:r>
            <w:r>
              <w:t>-</w:t>
            </w:r>
            <w:r w:rsidRPr="002E1476">
              <w:t xml:space="preserve">39 pupils trampolining and gymnastics, 3 pupils climbing, 9 pupils </w:t>
            </w:r>
            <w:proofErr w:type="spellStart"/>
            <w:r w:rsidRPr="002E1476">
              <w:t>sailability</w:t>
            </w:r>
            <w:proofErr w:type="spellEnd"/>
            <w:r>
              <w:t>.</w:t>
            </w:r>
            <w:r w:rsidRPr="002E1476">
              <w:t xml:space="preserve"> KS3 - 55% </w:t>
            </w:r>
            <w:r>
              <w:t>-</w:t>
            </w:r>
            <w:r w:rsidRPr="002E1476">
              <w:t xml:space="preserve">8 pupils Mencap 'all move'/Dynamic adventure, 10 </w:t>
            </w:r>
            <w:proofErr w:type="gramStart"/>
            <w:r w:rsidRPr="002E1476">
              <w:t>pupils</w:t>
            </w:r>
            <w:proofErr w:type="gramEnd"/>
            <w:r w:rsidRPr="002E1476">
              <w:t xml:space="preserve"> tennis, 6 pupils </w:t>
            </w:r>
            <w:proofErr w:type="spellStart"/>
            <w:r w:rsidRPr="002E1476">
              <w:t>sailability</w:t>
            </w:r>
            <w:proofErr w:type="spellEnd"/>
            <w:r w:rsidRPr="002E1476">
              <w:t xml:space="preserve">, </w:t>
            </w:r>
            <w:r w:rsidRPr="002E1476">
              <w:lastRenderedPageBreak/>
              <w:t>2 pupils climbing</w:t>
            </w:r>
            <w:r>
              <w:t xml:space="preserve">. </w:t>
            </w:r>
            <w:r w:rsidRPr="002E1476">
              <w:t xml:space="preserve">KS4 - 100% </w:t>
            </w:r>
            <w:r>
              <w:t>-</w:t>
            </w:r>
            <w:r w:rsidRPr="002E1476">
              <w:t xml:space="preserve">29 pupils trampolining and gymnastics, 6 pupils climbing, 9 pupils </w:t>
            </w:r>
            <w:proofErr w:type="spellStart"/>
            <w:r w:rsidRPr="002E1476">
              <w:t>sailability</w:t>
            </w:r>
            <w:proofErr w:type="spellEnd"/>
            <w:r w:rsidRPr="002E1476">
              <w:t>, 8 pupils ice skating, all pupils' activities week</w:t>
            </w:r>
            <w:r>
              <w:t>.</w:t>
            </w:r>
            <w:r w:rsidRPr="002E1476">
              <w:t xml:space="preserve"> KS5 - 80% </w:t>
            </w:r>
            <w:r>
              <w:t>-</w:t>
            </w:r>
            <w:r w:rsidRPr="002E1476">
              <w:t xml:space="preserve">8 pupils DofE, 10 </w:t>
            </w:r>
            <w:proofErr w:type="gramStart"/>
            <w:r w:rsidRPr="002E1476">
              <w:t>pupils</w:t>
            </w:r>
            <w:proofErr w:type="gramEnd"/>
            <w:r w:rsidRPr="002E1476">
              <w:t xml:space="preserve"> tennis, 6 pupils </w:t>
            </w:r>
            <w:proofErr w:type="spellStart"/>
            <w:r w:rsidRPr="002E1476">
              <w:t>sailability</w:t>
            </w:r>
            <w:proofErr w:type="spellEnd"/>
            <w:r>
              <w:t>,</w:t>
            </w:r>
            <w:r w:rsidRPr="002E1476">
              <w:t xml:space="preserve"> mountain biking 24 pupils and </w:t>
            </w:r>
            <w:proofErr w:type="spellStart"/>
            <w:r w:rsidRPr="002E1476">
              <w:t>snorkelling</w:t>
            </w:r>
            <w:proofErr w:type="spellEnd"/>
            <w:r w:rsidRPr="002E1476">
              <w:t xml:space="preserve"> 8 pupils</w:t>
            </w:r>
            <w:r>
              <w:t xml:space="preserve"> </w:t>
            </w:r>
            <w:r w:rsidRPr="002E1476">
              <w:t>from across the school</w:t>
            </w:r>
            <w:r>
              <w:t>.</w:t>
            </w:r>
          </w:p>
        </w:tc>
        <w:tc>
          <w:tcPr>
            <w:tcW w:w="4206" w:type="dxa"/>
            <w:shd w:val="clear" w:color="auto" w:fill="auto"/>
            <w:tcMar>
              <w:top w:w="113" w:type="dxa"/>
              <w:bottom w:w="113" w:type="dxa"/>
            </w:tcMar>
          </w:tcPr>
          <w:p w14:paraId="05910F2D" w14:textId="77777777" w:rsidR="00F94E61" w:rsidRDefault="00F94E61" w:rsidP="00F94E61">
            <w:pPr>
              <w:spacing w:after="120"/>
            </w:pPr>
          </w:p>
          <w:p w14:paraId="7E6A0842" w14:textId="77777777" w:rsidR="00922CFF" w:rsidRDefault="00922CFF" w:rsidP="00F94E61">
            <w:pPr>
              <w:spacing w:after="120"/>
            </w:pPr>
          </w:p>
          <w:p w14:paraId="578A87DF" w14:textId="77777777" w:rsidR="00922CFF" w:rsidRDefault="00922CFF" w:rsidP="00F94E61">
            <w:pPr>
              <w:spacing w:after="120"/>
            </w:pPr>
          </w:p>
          <w:p w14:paraId="13F34AD4" w14:textId="77777777" w:rsidR="00922CFF" w:rsidRDefault="00922CFF" w:rsidP="00F94E61">
            <w:pPr>
              <w:spacing w:after="120"/>
            </w:pPr>
          </w:p>
          <w:p w14:paraId="49CB9B45" w14:textId="77777777" w:rsidR="00922CFF" w:rsidRDefault="00922CFF" w:rsidP="00F94E61">
            <w:pPr>
              <w:spacing w:after="120"/>
            </w:pPr>
          </w:p>
          <w:p w14:paraId="708041D0" w14:textId="77777777" w:rsidR="00922CFF" w:rsidRDefault="00922CFF" w:rsidP="00F94E61">
            <w:pPr>
              <w:spacing w:after="120"/>
              <w:rPr>
                <w:rFonts w:asciiTheme="minorHAnsi" w:eastAsiaTheme="minorHAnsi" w:hAnsiTheme="minorHAnsi" w:cstheme="minorHAnsi"/>
                <w:szCs w:val="22"/>
                <w:lang w:val="en-GB"/>
              </w:rPr>
            </w:pPr>
            <w:r>
              <w:rPr>
                <w:rFonts w:asciiTheme="minorHAnsi" w:eastAsiaTheme="minorHAnsi" w:hAnsiTheme="minorHAnsi" w:cstheme="minorHAnsi"/>
                <w:szCs w:val="22"/>
                <w:lang w:val="en-GB"/>
              </w:rPr>
              <w:t>We will continue to invest in HLTA time to reduce this gap</w:t>
            </w:r>
            <w:r>
              <w:rPr>
                <w:rFonts w:asciiTheme="minorHAnsi" w:eastAsiaTheme="minorHAnsi" w:hAnsiTheme="minorHAnsi" w:cstheme="minorHAnsi"/>
                <w:szCs w:val="22"/>
                <w:lang w:val="en-GB"/>
              </w:rPr>
              <w:t xml:space="preserve"> and action English Leads to further investigate this trend.</w:t>
            </w:r>
          </w:p>
          <w:p w14:paraId="09E39493" w14:textId="77777777" w:rsidR="004F552C" w:rsidRDefault="004F552C" w:rsidP="00F94E61">
            <w:pPr>
              <w:spacing w:after="120"/>
            </w:pPr>
          </w:p>
          <w:p w14:paraId="53B16005" w14:textId="77777777" w:rsidR="004F552C" w:rsidRDefault="004F552C" w:rsidP="00F94E61">
            <w:pPr>
              <w:spacing w:after="120"/>
            </w:pPr>
          </w:p>
          <w:p w14:paraId="7A35F5A5" w14:textId="77777777" w:rsidR="004F552C" w:rsidRDefault="004F552C" w:rsidP="00F94E61">
            <w:pPr>
              <w:spacing w:after="120"/>
            </w:pPr>
            <w:r>
              <w:t xml:space="preserve">We will continue to invest in PP strategies to support regulation and engagement. </w:t>
            </w:r>
          </w:p>
          <w:p w14:paraId="28141B6F" w14:textId="501ACF65" w:rsidR="006A0E2B" w:rsidRDefault="006A0E2B" w:rsidP="00F94E61">
            <w:pPr>
              <w:spacing w:after="120"/>
            </w:pPr>
          </w:p>
          <w:p w14:paraId="5203A9BF" w14:textId="77777777" w:rsidR="006A0E2B" w:rsidRDefault="006A0E2B" w:rsidP="00F94E61">
            <w:pPr>
              <w:spacing w:after="120"/>
            </w:pPr>
          </w:p>
          <w:p w14:paraId="44EA4C7C" w14:textId="77777777" w:rsidR="006A0E2B" w:rsidRDefault="006A0E2B" w:rsidP="00F94E61">
            <w:pPr>
              <w:spacing w:after="120"/>
            </w:pPr>
          </w:p>
          <w:p w14:paraId="6770159F" w14:textId="77777777" w:rsidR="006A0E2B" w:rsidRDefault="006A0E2B" w:rsidP="00F94E61">
            <w:pPr>
              <w:spacing w:after="120"/>
            </w:pPr>
          </w:p>
          <w:p w14:paraId="0D6F1B8C" w14:textId="77777777" w:rsidR="006A0E2B" w:rsidRDefault="006A0E2B" w:rsidP="00F94E61">
            <w:pPr>
              <w:spacing w:after="120"/>
            </w:pPr>
          </w:p>
          <w:p w14:paraId="3054C6E5" w14:textId="77777777" w:rsidR="006A0E2B" w:rsidRDefault="006A0E2B" w:rsidP="00F94E61">
            <w:pPr>
              <w:spacing w:after="120"/>
            </w:pPr>
          </w:p>
          <w:p w14:paraId="2F0E3BD9" w14:textId="77777777" w:rsidR="006A0E2B" w:rsidRDefault="006A0E2B" w:rsidP="00F94E61">
            <w:pPr>
              <w:spacing w:after="120"/>
            </w:pPr>
          </w:p>
          <w:p w14:paraId="5CF7D943" w14:textId="4250C123" w:rsidR="006A0E2B" w:rsidRPr="00F94E61" w:rsidRDefault="006A0E2B" w:rsidP="00F94E61">
            <w:pPr>
              <w:spacing w:after="120"/>
            </w:pPr>
          </w:p>
        </w:tc>
      </w:tr>
      <w:bookmarkEnd w:id="2"/>
    </w:tbl>
    <w:p w14:paraId="3CD67FAC" w14:textId="77777777" w:rsidR="00590F46" w:rsidRDefault="00590F46">
      <w:pPr>
        <w:rPr>
          <w:rFonts w:ascii="L2L-Sassoon Primary" w:hAnsi="L2L-Sassoon Primary"/>
        </w:rPr>
      </w:pPr>
    </w:p>
    <w:p w14:paraId="0BECB70A" w14:textId="77777777" w:rsidR="00F94E61" w:rsidRDefault="00F94E61" w:rsidP="00F94E61">
      <w:pPr>
        <w:spacing w:after="120"/>
        <w:rPr>
          <w:rFonts w:ascii="Arial" w:hAnsi="Arial" w:cs="Arial"/>
          <w:b/>
          <w:sz w:val="20"/>
          <w:szCs w:val="20"/>
        </w:rPr>
      </w:pPr>
      <w:r w:rsidRPr="00F94E61">
        <w:rPr>
          <w:rFonts w:ascii="Arial" w:hAnsi="Arial" w:cs="Arial"/>
          <w:b/>
          <w:sz w:val="20"/>
          <w:szCs w:val="20"/>
        </w:rPr>
        <w:t>Total pupil premium allocation for academic year</w:t>
      </w:r>
      <w:r w:rsidR="00D95C7E">
        <w:rPr>
          <w:rFonts w:ascii="Arial" w:hAnsi="Arial" w:cs="Arial"/>
          <w:b/>
          <w:sz w:val="20"/>
          <w:szCs w:val="20"/>
        </w:rPr>
        <w:t xml:space="preserve"> 2021-2022</w:t>
      </w:r>
      <w:r w:rsidRPr="00F94E61">
        <w:rPr>
          <w:rFonts w:ascii="Arial" w:hAnsi="Arial" w:cs="Arial"/>
          <w:b/>
          <w:sz w:val="20"/>
          <w:szCs w:val="20"/>
        </w:rPr>
        <w:t>:</w:t>
      </w:r>
      <w:r w:rsidR="007D11FC">
        <w:rPr>
          <w:rFonts w:ascii="Arial" w:hAnsi="Arial" w:cs="Arial"/>
          <w:b/>
          <w:sz w:val="20"/>
          <w:szCs w:val="20"/>
        </w:rPr>
        <w:t xml:space="preserve"> £</w:t>
      </w:r>
      <w:r w:rsidR="00D95C7E">
        <w:rPr>
          <w:rFonts w:ascii="Arial" w:hAnsi="Arial" w:cs="Arial"/>
          <w:b/>
          <w:sz w:val="20"/>
          <w:szCs w:val="20"/>
        </w:rPr>
        <w:t>97,876</w:t>
      </w:r>
    </w:p>
    <w:p w14:paraId="1336AE09" w14:textId="77777777" w:rsidR="007234C9" w:rsidRPr="00F94E61" w:rsidRDefault="007234C9" w:rsidP="00F94E61">
      <w:pPr>
        <w:spacing w:after="120"/>
        <w:rPr>
          <w:rFonts w:ascii="Arial" w:hAnsi="Arial" w:cs="Arial"/>
          <w:b/>
          <w:sz w:val="20"/>
          <w:szCs w:val="20"/>
        </w:rPr>
      </w:pPr>
    </w:p>
    <w:tbl>
      <w:tblPr>
        <w:tblStyle w:val="TableGrid"/>
        <w:tblW w:w="0" w:type="auto"/>
        <w:tblLook w:val="04A0" w:firstRow="1" w:lastRow="0" w:firstColumn="1" w:lastColumn="0" w:noHBand="0" w:noVBand="1"/>
      </w:tblPr>
      <w:tblGrid>
        <w:gridCol w:w="15388"/>
      </w:tblGrid>
      <w:tr w:rsidR="007234C9" w14:paraId="3C0C31F2" w14:textId="77777777" w:rsidTr="007234C9">
        <w:tc>
          <w:tcPr>
            <w:tcW w:w="15388" w:type="dxa"/>
            <w:shd w:val="clear" w:color="auto" w:fill="D9D9FF"/>
          </w:tcPr>
          <w:p w14:paraId="33BF59F9" w14:textId="77777777" w:rsidR="007234C9" w:rsidRDefault="007234C9" w:rsidP="007234C9">
            <w:pPr>
              <w:spacing w:after="120"/>
              <w:jc w:val="center"/>
              <w:rPr>
                <w:rFonts w:asciiTheme="minorHAnsi" w:hAnsiTheme="minorHAnsi" w:cstheme="minorHAnsi"/>
                <w:b/>
                <w:caps/>
                <w:sz w:val="28"/>
                <w:szCs w:val="28"/>
              </w:rPr>
            </w:pPr>
            <w:r>
              <w:rPr>
                <w:rFonts w:asciiTheme="minorHAnsi" w:hAnsiTheme="minorHAnsi" w:cstheme="minorHAnsi"/>
                <w:b/>
                <w:caps/>
                <w:sz w:val="28"/>
                <w:szCs w:val="28"/>
              </w:rPr>
              <w:t>assessment of need</w:t>
            </w:r>
          </w:p>
          <w:p w14:paraId="4EEB82F8" w14:textId="77777777" w:rsidR="007234C9" w:rsidRDefault="007234C9" w:rsidP="00F94E61">
            <w:pPr>
              <w:spacing w:after="120"/>
            </w:pPr>
          </w:p>
        </w:tc>
      </w:tr>
      <w:tr w:rsidR="007234C9" w14:paraId="0C176CC8" w14:textId="77777777" w:rsidTr="007234C9">
        <w:tc>
          <w:tcPr>
            <w:tcW w:w="15388" w:type="dxa"/>
          </w:tcPr>
          <w:p w14:paraId="3AE4E030" w14:textId="77777777" w:rsidR="007234C9" w:rsidRDefault="00AD5499" w:rsidP="007234C9">
            <w:pPr>
              <w:spacing w:after="120"/>
              <w:rPr>
                <w:rFonts w:asciiTheme="minorHAnsi" w:hAnsiTheme="minorHAnsi" w:cstheme="minorHAnsi"/>
                <w:sz w:val="20"/>
              </w:rPr>
            </w:pPr>
            <w:r>
              <w:rPr>
                <w:rFonts w:asciiTheme="minorHAnsi" w:hAnsiTheme="minorHAnsi" w:cstheme="minorHAnsi"/>
                <w:sz w:val="20"/>
              </w:rPr>
              <w:t>Bidwell Brook</w:t>
            </w:r>
            <w:r w:rsidR="007234C9">
              <w:rPr>
                <w:rFonts w:asciiTheme="minorHAnsi" w:hAnsiTheme="minorHAnsi" w:cstheme="minorHAnsi"/>
                <w:sz w:val="20"/>
              </w:rPr>
              <w:t xml:space="preserve"> School is a local authority maintained special school, with </w:t>
            </w:r>
            <w:r w:rsidR="003E684E">
              <w:rPr>
                <w:rFonts w:asciiTheme="minorHAnsi" w:hAnsiTheme="minorHAnsi" w:cstheme="minorHAnsi"/>
                <w:sz w:val="20"/>
              </w:rPr>
              <w:t>158</w:t>
            </w:r>
            <w:r w:rsidR="007234C9">
              <w:rPr>
                <w:rFonts w:asciiTheme="minorHAnsi" w:hAnsiTheme="minorHAnsi" w:cstheme="minorHAnsi"/>
                <w:sz w:val="20"/>
              </w:rPr>
              <w:t xml:space="preserve"> pupils on roll from EYFS through to KS5. All pupils have an EHCP</w:t>
            </w:r>
            <w:r w:rsidR="007234C9">
              <w:t xml:space="preserve"> </w:t>
            </w:r>
            <w:r w:rsidR="007234C9" w:rsidRPr="00EC2188">
              <w:rPr>
                <w:rFonts w:asciiTheme="minorHAnsi" w:hAnsiTheme="minorHAnsi" w:cstheme="minorHAnsi"/>
                <w:sz w:val="20"/>
              </w:rPr>
              <w:t>and have complex learning needs including severe learning difficulties (SLD), profound and multiple learning difficulties (PMLD) and specific learning difficulties (</w:t>
            </w:r>
            <w:proofErr w:type="spellStart"/>
            <w:r w:rsidR="007234C9" w:rsidRPr="00EC2188">
              <w:rPr>
                <w:rFonts w:asciiTheme="minorHAnsi" w:hAnsiTheme="minorHAnsi" w:cstheme="minorHAnsi"/>
                <w:sz w:val="20"/>
              </w:rPr>
              <w:t>SpLD</w:t>
            </w:r>
            <w:proofErr w:type="spellEnd"/>
            <w:r w:rsidR="007234C9" w:rsidRPr="00EC2188">
              <w:rPr>
                <w:rFonts w:asciiTheme="minorHAnsi" w:hAnsiTheme="minorHAnsi" w:cstheme="minorHAnsi"/>
                <w:sz w:val="20"/>
              </w:rPr>
              <w:t>) associated with Downs Syndrome, Autistic Spectrum Condition, speech and language difficulties, physical disabilities or a complex medical condition. For many of our pupils we disapply them from statutory assessments as they are not working at the age-related expectations (ARE). Pupils come from a range o</w:t>
            </w:r>
            <w:r w:rsidR="007234C9">
              <w:rPr>
                <w:rFonts w:asciiTheme="minorHAnsi" w:hAnsiTheme="minorHAnsi" w:cstheme="minorHAnsi"/>
                <w:sz w:val="20"/>
              </w:rPr>
              <w:t>f</w:t>
            </w:r>
            <w:r w:rsidR="007234C9" w:rsidRPr="00EC2188">
              <w:rPr>
                <w:rFonts w:asciiTheme="minorHAnsi" w:hAnsiTheme="minorHAnsi" w:cstheme="minorHAnsi"/>
                <w:sz w:val="20"/>
              </w:rPr>
              <w:t xml:space="preserve"> socio-economic backgrounds and the proportion of disadvantaged pupils is well above the national average.</w:t>
            </w:r>
            <w:r w:rsidR="007234C9">
              <w:rPr>
                <w:rFonts w:asciiTheme="minorHAnsi" w:hAnsiTheme="minorHAnsi" w:cstheme="minorHAnsi"/>
                <w:sz w:val="20"/>
              </w:rPr>
              <w:t xml:space="preserve"> We have high expectations and ambitions for all our pupils, including those eligible for pupil premium. We ensure that learning is </w:t>
            </w:r>
            <w:proofErr w:type="spellStart"/>
            <w:r w:rsidR="007234C9">
              <w:rPr>
                <w:rFonts w:asciiTheme="minorHAnsi" w:hAnsiTheme="minorHAnsi" w:cstheme="minorHAnsi"/>
                <w:sz w:val="20"/>
              </w:rPr>
              <w:t>personalised</w:t>
            </w:r>
            <w:proofErr w:type="spellEnd"/>
            <w:r w:rsidR="007234C9">
              <w:rPr>
                <w:rFonts w:asciiTheme="minorHAnsi" w:hAnsiTheme="minorHAnsi" w:cstheme="minorHAnsi"/>
                <w:sz w:val="20"/>
              </w:rPr>
              <w:t xml:space="preserve"> to meet the individual needs of our pupils when designing our curriculum, federation development plan and pupil premium strategy. All of these plans work together to ensure high quality teaching to improve outcomes for all pupils.</w:t>
            </w:r>
          </w:p>
          <w:p w14:paraId="79797204" w14:textId="77777777" w:rsidR="007234C9" w:rsidRDefault="007234C9" w:rsidP="007234C9">
            <w:pPr>
              <w:spacing w:after="120"/>
              <w:rPr>
                <w:rFonts w:asciiTheme="minorHAnsi" w:hAnsiTheme="minorHAnsi" w:cstheme="minorHAnsi"/>
                <w:sz w:val="20"/>
              </w:rPr>
            </w:pPr>
            <w:r>
              <w:rPr>
                <w:rFonts w:asciiTheme="minorHAnsi" w:hAnsiTheme="minorHAnsi" w:cstheme="minorHAnsi"/>
                <w:sz w:val="20"/>
              </w:rPr>
              <w:t xml:space="preserve">The use of research and evidence in special education can be a challenge due to the bespoke provision we put into place for our pupils. However, we use the EEF’s Teaching and Learning Toolkit to help </w:t>
            </w:r>
            <w:proofErr w:type="spellStart"/>
            <w:r>
              <w:rPr>
                <w:rFonts w:asciiTheme="minorHAnsi" w:hAnsiTheme="minorHAnsi" w:cstheme="minorHAnsi"/>
                <w:sz w:val="20"/>
              </w:rPr>
              <w:t>prioritise</w:t>
            </w:r>
            <w:proofErr w:type="spellEnd"/>
            <w:r>
              <w:rPr>
                <w:rFonts w:asciiTheme="minorHAnsi" w:hAnsiTheme="minorHAnsi" w:cstheme="minorHAnsi"/>
                <w:sz w:val="20"/>
              </w:rPr>
              <w:t xml:space="preserve"> areas for development, and have participated in research projects such as the Timpson and Laurel Trust project to ensure decisions are research and evidence based. We use a variety of tools to assess learning, including Evidence for Learning, EYFS Development Matters, KS1 Phonics Screen, phonics tracker and BKSB. These tools allow us to identify when new learning is emerging, developing, secure or exceeding. </w:t>
            </w:r>
          </w:p>
          <w:p w14:paraId="431808D3" w14:textId="77777777" w:rsidR="007234C9" w:rsidRDefault="007234C9" w:rsidP="007234C9">
            <w:pPr>
              <w:spacing w:after="120"/>
            </w:pPr>
            <w:r>
              <w:rPr>
                <w:rFonts w:asciiTheme="minorHAnsi" w:hAnsiTheme="minorHAnsi" w:cstheme="minorHAnsi"/>
                <w:sz w:val="20"/>
              </w:rPr>
              <w:t>This academic year, our assessments have allowed us to identify some core challenges some pupils and staff are facing. We know from lesson observations, assessment, target setting and planning as well as staff confidence surveys that we need to improve the quality of education for pupils on the engagement pathway. These students were disproportionately affected by the pandemic as it was harder to replicate this pathway remotely. We also know from our internal qualitative data and our knowledge of our context, that many of our pupils have limited access to enrichment activities. We also have a significant need for social and emotional support for our pupils, as evidenced by our behavior monitoring tool and adverse childhood experience screening tool. Self-regulation (drawing upon the EEF guidance report) is a key area of our strategic plans. We know from our phonics tracker quantitative data that our phonics interventions have improved pupil achievement in phonics and reading</w:t>
            </w:r>
            <w:r w:rsidR="0005705D">
              <w:rPr>
                <w:rFonts w:asciiTheme="minorHAnsi" w:hAnsiTheme="minorHAnsi" w:cstheme="minorHAnsi"/>
                <w:sz w:val="20"/>
              </w:rPr>
              <w:t xml:space="preserve">, this is also supported by the EEF </w:t>
            </w:r>
            <w:r w:rsidR="004452C2">
              <w:rPr>
                <w:rFonts w:asciiTheme="minorHAnsi" w:hAnsiTheme="minorHAnsi" w:cstheme="minorHAnsi"/>
                <w:sz w:val="20"/>
              </w:rPr>
              <w:t>Teaching and Learning Toolkit</w:t>
            </w:r>
            <w:r>
              <w:rPr>
                <w:rFonts w:asciiTheme="minorHAnsi" w:hAnsiTheme="minorHAnsi" w:cstheme="minorHAnsi"/>
                <w:sz w:val="20"/>
              </w:rPr>
              <w:t xml:space="preserve">. This academic year, we will be continuing this intervention to maintain this progress and achievement.  </w:t>
            </w:r>
          </w:p>
        </w:tc>
      </w:tr>
    </w:tbl>
    <w:p w14:paraId="79B4FE3C" w14:textId="77777777" w:rsidR="00F94E61" w:rsidRPr="00F94E61" w:rsidRDefault="00F94E61" w:rsidP="00F94E61">
      <w:pPr>
        <w:spacing w:after="120"/>
      </w:pPr>
    </w:p>
    <w:tbl>
      <w:tblPr>
        <w:tblW w:w="154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122"/>
        <w:gridCol w:w="13324"/>
      </w:tblGrid>
      <w:tr w:rsidR="00F94E61" w:rsidRPr="00F94E61" w14:paraId="62C1EF63" w14:textId="77777777" w:rsidTr="00BF0FA6">
        <w:trPr>
          <w:cantSplit/>
        </w:trPr>
        <w:tc>
          <w:tcPr>
            <w:tcW w:w="15446"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BDBDFF"/>
            <w:tcMar>
              <w:top w:w="113" w:type="dxa"/>
              <w:bottom w:w="113" w:type="dxa"/>
            </w:tcMar>
          </w:tcPr>
          <w:p w14:paraId="2F8A2BE0" w14:textId="77777777" w:rsidR="00F94E61" w:rsidRPr="00F94E61" w:rsidRDefault="00F94E61" w:rsidP="00F94E61">
            <w:pPr>
              <w:spacing w:after="120"/>
              <w:jc w:val="center"/>
              <w:rPr>
                <w:rFonts w:asciiTheme="minorHAnsi" w:hAnsiTheme="minorHAnsi" w:cstheme="minorHAnsi"/>
                <w:b/>
                <w:caps/>
                <w:color w:val="F8F8F8"/>
                <w:sz w:val="28"/>
                <w:szCs w:val="28"/>
              </w:rPr>
            </w:pPr>
            <w:r w:rsidRPr="00F94E61">
              <w:rPr>
                <w:rFonts w:asciiTheme="minorHAnsi" w:hAnsiTheme="minorHAnsi" w:cstheme="minorHAnsi"/>
                <w:b/>
                <w:caps/>
                <w:sz w:val="28"/>
                <w:szCs w:val="28"/>
              </w:rPr>
              <w:t>PUPIL PREMIUM OBJECTIVES FOR ACADEMIC YEAR 2022 - 2023</w:t>
            </w:r>
          </w:p>
        </w:tc>
      </w:tr>
      <w:tr w:rsidR="007B2287" w:rsidRPr="00F94E61" w14:paraId="3E8F3E16" w14:textId="77777777" w:rsidTr="00BF0FA6">
        <w:trPr>
          <w:cantSplit/>
        </w:trPr>
        <w:tc>
          <w:tcPr>
            <w:tcW w:w="15446" w:type="dxa"/>
            <w:gridSpan w:val="2"/>
            <w:shd w:val="clear" w:color="auto" w:fill="D9D9FF"/>
            <w:tcMar>
              <w:top w:w="113" w:type="dxa"/>
              <w:bottom w:w="113" w:type="dxa"/>
            </w:tcMar>
          </w:tcPr>
          <w:p w14:paraId="45099FF3" w14:textId="77777777" w:rsidR="007B2287" w:rsidRDefault="007B2287" w:rsidP="007B2287">
            <w:pPr>
              <w:spacing w:after="120"/>
              <w:jc w:val="center"/>
              <w:rPr>
                <w:rFonts w:asciiTheme="minorHAnsi" w:hAnsiTheme="minorHAnsi" w:cstheme="minorHAnsi"/>
                <w:b/>
                <w:caps/>
                <w:sz w:val="28"/>
                <w:szCs w:val="28"/>
              </w:rPr>
            </w:pPr>
            <w:r>
              <w:rPr>
                <w:rFonts w:asciiTheme="minorHAnsi" w:hAnsiTheme="minorHAnsi" w:cstheme="minorHAnsi"/>
                <w:b/>
                <w:caps/>
                <w:sz w:val="28"/>
                <w:szCs w:val="28"/>
              </w:rPr>
              <w:t>high quality teaching</w:t>
            </w:r>
          </w:p>
          <w:p w14:paraId="1D4A1834" w14:textId="77777777" w:rsidR="007B2287" w:rsidRDefault="007B2287" w:rsidP="007B2287">
            <w:pPr>
              <w:spacing w:after="120"/>
              <w:rPr>
                <w:rFonts w:asciiTheme="minorHAnsi" w:hAnsiTheme="minorHAnsi" w:cstheme="minorHAnsi"/>
                <w:sz w:val="20"/>
              </w:rPr>
            </w:pPr>
          </w:p>
        </w:tc>
      </w:tr>
      <w:tr w:rsidR="00010102" w:rsidRPr="00F94E61" w14:paraId="7CA10051" w14:textId="77777777" w:rsidTr="00BF0FA6">
        <w:trPr>
          <w:cantSplit/>
        </w:trPr>
        <w:tc>
          <w:tcPr>
            <w:tcW w:w="2122" w:type="dxa"/>
            <w:shd w:val="clear" w:color="auto" w:fill="auto"/>
            <w:tcMar>
              <w:top w:w="113" w:type="dxa"/>
              <w:bottom w:w="113" w:type="dxa"/>
            </w:tcMar>
          </w:tcPr>
          <w:p w14:paraId="184D9881" w14:textId="77777777" w:rsidR="00010102" w:rsidRDefault="00010102" w:rsidP="003C4D7A">
            <w:pPr>
              <w:spacing w:after="120"/>
              <w:jc w:val="center"/>
              <w:rPr>
                <w:rFonts w:asciiTheme="minorHAnsi" w:hAnsiTheme="minorHAnsi" w:cstheme="minorHAnsi"/>
                <w:sz w:val="20"/>
              </w:rPr>
            </w:pPr>
            <w:r>
              <w:rPr>
                <w:rFonts w:asciiTheme="minorHAnsi" w:hAnsiTheme="minorHAnsi" w:cstheme="minorHAnsi"/>
                <w:sz w:val="20"/>
              </w:rPr>
              <w:t>Challenge number</w:t>
            </w:r>
          </w:p>
        </w:tc>
        <w:tc>
          <w:tcPr>
            <w:tcW w:w="13324" w:type="dxa"/>
            <w:shd w:val="clear" w:color="auto" w:fill="auto"/>
          </w:tcPr>
          <w:p w14:paraId="73E03D6A" w14:textId="77777777" w:rsidR="00010102" w:rsidRDefault="00010102" w:rsidP="003C4D7A">
            <w:pPr>
              <w:spacing w:after="120"/>
              <w:jc w:val="center"/>
              <w:rPr>
                <w:rFonts w:asciiTheme="minorHAnsi" w:hAnsiTheme="minorHAnsi" w:cstheme="minorHAnsi"/>
                <w:sz w:val="20"/>
              </w:rPr>
            </w:pPr>
            <w:r>
              <w:rPr>
                <w:rFonts w:asciiTheme="minorHAnsi" w:hAnsiTheme="minorHAnsi" w:cstheme="minorHAnsi"/>
                <w:sz w:val="20"/>
              </w:rPr>
              <w:t>Objective</w:t>
            </w:r>
          </w:p>
        </w:tc>
      </w:tr>
      <w:tr w:rsidR="00BF0FA6" w:rsidRPr="00AB7BA0" w14:paraId="3E745119" w14:textId="77777777" w:rsidTr="00BF0FA6">
        <w:trPr>
          <w:cantSplit/>
        </w:trPr>
        <w:tc>
          <w:tcPr>
            <w:tcW w:w="2122" w:type="dxa"/>
            <w:tcBorders>
              <w:bottom w:val="single" w:sz="4" w:space="0" w:color="000000" w:themeColor="text1"/>
            </w:tcBorders>
            <w:shd w:val="clear" w:color="auto" w:fill="auto"/>
            <w:tcMar>
              <w:top w:w="113" w:type="dxa"/>
              <w:bottom w:w="113" w:type="dxa"/>
            </w:tcMar>
          </w:tcPr>
          <w:p w14:paraId="47962A85" w14:textId="77777777" w:rsidR="00BF0FA6" w:rsidRDefault="003346B5" w:rsidP="00F03B5C">
            <w:pPr>
              <w:spacing w:after="120"/>
              <w:jc w:val="center"/>
              <w:rPr>
                <w:rFonts w:asciiTheme="minorHAnsi" w:hAnsiTheme="minorHAnsi" w:cstheme="minorHAnsi"/>
                <w:sz w:val="20"/>
              </w:rPr>
            </w:pPr>
            <w:r>
              <w:rPr>
                <w:rFonts w:asciiTheme="minorHAnsi" w:hAnsiTheme="minorHAnsi" w:cstheme="minorHAnsi"/>
                <w:sz w:val="20"/>
              </w:rPr>
              <w:t>1-6</w:t>
            </w:r>
          </w:p>
        </w:tc>
        <w:tc>
          <w:tcPr>
            <w:tcW w:w="13324" w:type="dxa"/>
            <w:tcBorders>
              <w:bottom w:val="single" w:sz="4" w:space="0" w:color="000000" w:themeColor="text1"/>
            </w:tcBorders>
            <w:shd w:val="clear" w:color="auto" w:fill="auto"/>
          </w:tcPr>
          <w:p w14:paraId="66EA1D56" w14:textId="77777777" w:rsidR="00BF0FA6" w:rsidRPr="00AB7BA0" w:rsidRDefault="00BF0FA6" w:rsidP="00BF0FA6">
            <w:pPr>
              <w:pStyle w:val="ListParagraph"/>
              <w:numPr>
                <w:ilvl w:val="0"/>
                <w:numId w:val="1"/>
              </w:numPr>
              <w:spacing w:after="120"/>
              <w:rPr>
                <w:rFonts w:asciiTheme="minorHAnsi" w:hAnsiTheme="minorHAnsi" w:cstheme="minorHAnsi"/>
                <w:sz w:val="20"/>
              </w:rPr>
            </w:pPr>
            <w:r w:rsidRPr="00AB7BA0">
              <w:rPr>
                <w:rFonts w:asciiTheme="minorHAnsi" w:hAnsiTheme="minorHAnsi" w:cstheme="minorHAnsi"/>
                <w:sz w:val="20"/>
              </w:rPr>
              <w:t xml:space="preserve">Pupil Premium Lead will ensure that pupil premium allocation is used effectively to ensure there is no attainment gap between PP and Non-PP students. </w:t>
            </w:r>
          </w:p>
        </w:tc>
      </w:tr>
      <w:tr w:rsidR="00BF0FA6" w:rsidRPr="00AB7BA0" w14:paraId="09540FD2" w14:textId="77777777" w:rsidTr="00BF0FA6">
        <w:trPr>
          <w:cantSplit/>
        </w:trPr>
        <w:tc>
          <w:tcPr>
            <w:tcW w:w="2122" w:type="dxa"/>
            <w:tcBorders>
              <w:bottom w:val="single" w:sz="4" w:space="0" w:color="000000" w:themeColor="text1"/>
            </w:tcBorders>
            <w:shd w:val="clear" w:color="auto" w:fill="auto"/>
            <w:tcMar>
              <w:top w:w="113" w:type="dxa"/>
              <w:bottom w:w="113" w:type="dxa"/>
            </w:tcMar>
          </w:tcPr>
          <w:p w14:paraId="0F57F24B" w14:textId="77777777" w:rsidR="00BF0FA6" w:rsidRDefault="003346B5" w:rsidP="00F03B5C">
            <w:pPr>
              <w:spacing w:after="120"/>
              <w:jc w:val="center"/>
              <w:rPr>
                <w:rFonts w:asciiTheme="minorHAnsi" w:hAnsiTheme="minorHAnsi" w:cstheme="minorHAnsi"/>
                <w:sz w:val="20"/>
              </w:rPr>
            </w:pPr>
            <w:r>
              <w:rPr>
                <w:rFonts w:asciiTheme="minorHAnsi" w:hAnsiTheme="minorHAnsi" w:cstheme="minorHAnsi"/>
                <w:sz w:val="20"/>
              </w:rPr>
              <w:t>1-6</w:t>
            </w:r>
          </w:p>
        </w:tc>
        <w:tc>
          <w:tcPr>
            <w:tcW w:w="13324" w:type="dxa"/>
            <w:tcBorders>
              <w:bottom w:val="single" w:sz="4" w:space="0" w:color="000000" w:themeColor="text1"/>
            </w:tcBorders>
            <w:shd w:val="clear" w:color="auto" w:fill="auto"/>
          </w:tcPr>
          <w:p w14:paraId="3BF6E24A" w14:textId="77777777" w:rsidR="00BF0FA6" w:rsidRPr="00AB7BA0" w:rsidRDefault="00BF0FA6" w:rsidP="00BF0FA6">
            <w:pPr>
              <w:pStyle w:val="ListParagraph"/>
              <w:numPr>
                <w:ilvl w:val="0"/>
                <w:numId w:val="1"/>
              </w:numPr>
              <w:spacing w:after="120"/>
              <w:rPr>
                <w:rFonts w:asciiTheme="minorHAnsi" w:hAnsiTheme="minorHAnsi" w:cstheme="minorHAnsi"/>
                <w:sz w:val="20"/>
              </w:rPr>
            </w:pPr>
            <w:r w:rsidRPr="00AB7BA0">
              <w:rPr>
                <w:rFonts w:asciiTheme="minorHAnsi" w:hAnsiTheme="minorHAnsi" w:cstheme="minorHAnsi"/>
                <w:sz w:val="20"/>
              </w:rPr>
              <w:t>Assistant Head Teacher for training and CPD will improve staff skills and knowledge, relating to the education of children and young people with SEND.</w:t>
            </w:r>
          </w:p>
        </w:tc>
      </w:tr>
      <w:tr w:rsidR="00BF0FA6" w:rsidRPr="00AB7BA0" w14:paraId="0FF24714" w14:textId="77777777" w:rsidTr="00BF0FA6">
        <w:trPr>
          <w:cantSplit/>
        </w:trPr>
        <w:tc>
          <w:tcPr>
            <w:tcW w:w="2122" w:type="dxa"/>
            <w:tcBorders>
              <w:bottom w:val="single" w:sz="4" w:space="0" w:color="000000" w:themeColor="text1"/>
            </w:tcBorders>
            <w:shd w:val="clear" w:color="auto" w:fill="auto"/>
            <w:tcMar>
              <w:top w:w="113" w:type="dxa"/>
              <w:bottom w:w="113" w:type="dxa"/>
            </w:tcMar>
          </w:tcPr>
          <w:p w14:paraId="78EFA415" w14:textId="77777777" w:rsidR="00BF0FA6" w:rsidRDefault="009B2117" w:rsidP="00F03B5C">
            <w:pPr>
              <w:spacing w:after="120"/>
              <w:jc w:val="center"/>
              <w:rPr>
                <w:rFonts w:asciiTheme="minorHAnsi" w:hAnsiTheme="minorHAnsi" w:cstheme="minorHAnsi"/>
                <w:sz w:val="20"/>
              </w:rPr>
            </w:pPr>
            <w:r>
              <w:rPr>
                <w:rFonts w:asciiTheme="minorHAnsi" w:hAnsiTheme="minorHAnsi" w:cstheme="minorHAnsi"/>
                <w:sz w:val="20"/>
              </w:rPr>
              <w:t>1,2,3,5,6</w:t>
            </w:r>
          </w:p>
        </w:tc>
        <w:tc>
          <w:tcPr>
            <w:tcW w:w="13324" w:type="dxa"/>
            <w:tcBorders>
              <w:bottom w:val="single" w:sz="4" w:space="0" w:color="000000" w:themeColor="text1"/>
            </w:tcBorders>
            <w:shd w:val="clear" w:color="auto" w:fill="auto"/>
          </w:tcPr>
          <w:p w14:paraId="1C76ADB2" w14:textId="77777777" w:rsidR="00BF0FA6" w:rsidRPr="00AB7BA0" w:rsidRDefault="00BF0FA6" w:rsidP="00BF0FA6">
            <w:pPr>
              <w:pStyle w:val="ListParagraph"/>
              <w:numPr>
                <w:ilvl w:val="0"/>
                <w:numId w:val="1"/>
              </w:numPr>
              <w:spacing w:after="120"/>
              <w:rPr>
                <w:rFonts w:asciiTheme="minorHAnsi" w:hAnsiTheme="minorHAnsi" w:cstheme="minorHAnsi"/>
                <w:sz w:val="20"/>
              </w:rPr>
            </w:pPr>
            <w:r>
              <w:rPr>
                <w:rFonts w:asciiTheme="minorHAnsi" w:hAnsiTheme="minorHAnsi" w:cstheme="minorHAnsi"/>
                <w:sz w:val="20"/>
              </w:rPr>
              <w:t>To invest in learning resources to support high quality teaching and learning, enabling all pupils to access learning.</w:t>
            </w:r>
          </w:p>
        </w:tc>
      </w:tr>
      <w:tr w:rsidR="003C4D7A" w:rsidRPr="00F94E61" w14:paraId="10AABF05" w14:textId="77777777" w:rsidTr="00BF0FA6">
        <w:trPr>
          <w:cantSplit/>
        </w:trPr>
        <w:tc>
          <w:tcPr>
            <w:tcW w:w="15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E1FF"/>
            <w:tcMar>
              <w:top w:w="113" w:type="dxa"/>
              <w:bottom w:w="113" w:type="dxa"/>
            </w:tcMar>
          </w:tcPr>
          <w:p w14:paraId="5C9D93B2" w14:textId="77777777" w:rsidR="003C4D7A" w:rsidRDefault="00CF046D" w:rsidP="003C4D7A">
            <w:pPr>
              <w:spacing w:after="120"/>
              <w:jc w:val="center"/>
              <w:rPr>
                <w:rFonts w:asciiTheme="minorHAnsi" w:hAnsiTheme="minorHAnsi" w:cstheme="minorHAnsi"/>
                <w:b/>
                <w:caps/>
                <w:sz w:val="28"/>
                <w:szCs w:val="28"/>
              </w:rPr>
            </w:pPr>
            <w:r>
              <w:rPr>
                <w:rFonts w:asciiTheme="minorHAnsi" w:hAnsiTheme="minorHAnsi" w:cstheme="minorHAnsi"/>
                <w:b/>
                <w:caps/>
                <w:sz w:val="28"/>
                <w:szCs w:val="28"/>
              </w:rPr>
              <w:t>Targeted</w:t>
            </w:r>
            <w:r w:rsidR="001E799C">
              <w:rPr>
                <w:rFonts w:asciiTheme="minorHAnsi" w:hAnsiTheme="minorHAnsi" w:cstheme="minorHAnsi"/>
                <w:b/>
                <w:caps/>
                <w:sz w:val="28"/>
                <w:szCs w:val="28"/>
              </w:rPr>
              <w:t xml:space="preserve"> academic support</w:t>
            </w:r>
          </w:p>
          <w:p w14:paraId="2437EDCE" w14:textId="77777777" w:rsidR="001148D0" w:rsidRDefault="001148D0" w:rsidP="001148D0">
            <w:pPr>
              <w:spacing w:after="120"/>
              <w:rPr>
                <w:rFonts w:asciiTheme="minorHAnsi" w:hAnsiTheme="minorHAnsi" w:cstheme="minorHAnsi"/>
                <w:sz w:val="20"/>
              </w:rPr>
            </w:pPr>
          </w:p>
        </w:tc>
      </w:tr>
      <w:tr w:rsidR="00CF046D" w:rsidRPr="00F94E61" w14:paraId="55AF797E" w14:textId="77777777" w:rsidTr="00BF0FA6">
        <w:trPr>
          <w:cantSplit/>
        </w:trPr>
        <w:tc>
          <w:tcPr>
            <w:tcW w:w="2122" w:type="dxa"/>
            <w:tcBorders>
              <w:top w:val="single" w:sz="4" w:space="0" w:color="000000" w:themeColor="text1"/>
            </w:tcBorders>
            <w:shd w:val="clear" w:color="auto" w:fill="auto"/>
            <w:tcMar>
              <w:top w:w="113" w:type="dxa"/>
              <w:bottom w:w="113" w:type="dxa"/>
            </w:tcMar>
          </w:tcPr>
          <w:p w14:paraId="016EEBBA" w14:textId="77777777" w:rsidR="00CF046D" w:rsidRPr="00F94E61" w:rsidRDefault="00CF046D" w:rsidP="00CF046D">
            <w:pPr>
              <w:spacing w:after="120"/>
              <w:jc w:val="center"/>
              <w:rPr>
                <w:rFonts w:asciiTheme="minorHAnsi" w:hAnsiTheme="minorHAnsi" w:cstheme="minorHAnsi"/>
                <w:sz w:val="20"/>
              </w:rPr>
            </w:pPr>
            <w:r>
              <w:rPr>
                <w:rFonts w:asciiTheme="minorHAnsi" w:hAnsiTheme="minorHAnsi" w:cstheme="minorHAnsi"/>
                <w:sz w:val="20"/>
              </w:rPr>
              <w:t>Challenge number</w:t>
            </w:r>
          </w:p>
        </w:tc>
        <w:tc>
          <w:tcPr>
            <w:tcW w:w="13324" w:type="dxa"/>
            <w:tcBorders>
              <w:top w:val="single" w:sz="4" w:space="0" w:color="000000" w:themeColor="text1"/>
            </w:tcBorders>
            <w:shd w:val="clear" w:color="auto" w:fill="auto"/>
          </w:tcPr>
          <w:p w14:paraId="1755E7EF" w14:textId="77777777" w:rsidR="00CF046D" w:rsidRPr="00F94E61" w:rsidRDefault="00CF046D" w:rsidP="00CF046D">
            <w:pPr>
              <w:spacing w:after="120"/>
              <w:jc w:val="center"/>
              <w:rPr>
                <w:rFonts w:asciiTheme="minorHAnsi" w:hAnsiTheme="minorHAnsi" w:cstheme="minorHAnsi"/>
                <w:sz w:val="20"/>
              </w:rPr>
            </w:pPr>
            <w:r>
              <w:rPr>
                <w:rFonts w:asciiTheme="minorHAnsi" w:hAnsiTheme="minorHAnsi" w:cstheme="minorHAnsi"/>
                <w:sz w:val="20"/>
              </w:rPr>
              <w:t>Objective</w:t>
            </w:r>
          </w:p>
        </w:tc>
      </w:tr>
      <w:tr w:rsidR="006A799C" w:rsidRPr="00720164" w14:paraId="49C739F6" w14:textId="77777777" w:rsidTr="00F03B5C">
        <w:trPr>
          <w:cantSplit/>
          <w:tblHeader/>
        </w:trPr>
        <w:tc>
          <w:tcPr>
            <w:tcW w:w="2122" w:type="dxa"/>
            <w:tcBorders>
              <w:bottom w:val="single" w:sz="4" w:space="0" w:color="000000" w:themeColor="text1"/>
            </w:tcBorders>
            <w:shd w:val="clear" w:color="auto" w:fill="auto"/>
            <w:tcMar>
              <w:top w:w="113" w:type="dxa"/>
              <w:bottom w:w="113" w:type="dxa"/>
            </w:tcMar>
          </w:tcPr>
          <w:p w14:paraId="47D4A88F" w14:textId="77777777" w:rsidR="006A799C" w:rsidRDefault="009B2117" w:rsidP="00F03B5C">
            <w:pPr>
              <w:spacing w:after="120"/>
              <w:jc w:val="center"/>
              <w:rPr>
                <w:rFonts w:asciiTheme="minorHAnsi" w:hAnsiTheme="minorHAnsi" w:cstheme="minorHAnsi"/>
                <w:sz w:val="20"/>
              </w:rPr>
            </w:pPr>
            <w:r>
              <w:rPr>
                <w:rFonts w:asciiTheme="minorHAnsi" w:hAnsiTheme="minorHAnsi" w:cstheme="minorHAnsi"/>
                <w:sz w:val="20"/>
              </w:rPr>
              <w:t>2</w:t>
            </w:r>
          </w:p>
        </w:tc>
        <w:tc>
          <w:tcPr>
            <w:tcW w:w="13324" w:type="dxa"/>
            <w:tcBorders>
              <w:bottom w:val="single" w:sz="4" w:space="0" w:color="000000" w:themeColor="text1"/>
            </w:tcBorders>
            <w:shd w:val="clear" w:color="auto" w:fill="auto"/>
          </w:tcPr>
          <w:p w14:paraId="44534692" w14:textId="77777777" w:rsidR="006A799C" w:rsidRPr="00720164" w:rsidRDefault="006A799C" w:rsidP="00155E59">
            <w:pPr>
              <w:pStyle w:val="ListParagraph"/>
              <w:numPr>
                <w:ilvl w:val="0"/>
                <w:numId w:val="1"/>
              </w:numPr>
              <w:spacing w:after="120"/>
              <w:rPr>
                <w:rFonts w:asciiTheme="minorHAnsi" w:hAnsiTheme="minorHAnsi" w:cstheme="minorHAnsi"/>
                <w:sz w:val="20"/>
              </w:rPr>
            </w:pPr>
            <w:r w:rsidRPr="00720164">
              <w:rPr>
                <w:rFonts w:asciiTheme="minorHAnsi" w:hAnsiTheme="minorHAnsi" w:cstheme="minorHAnsi"/>
                <w:sz w:val="20"/>
              </w:rPr>
              <w:t>Literacy HLTA will ensure that there is no attainment gap in phonics between PP and non-PP learners, using phonics tracker to monitor progress and to offer targeted support where the need is identified</w:t>
            </w:r>
          </w:p>
        </w:tc>
      </w:tr>
      <w:tr w:rsidR="0068393B" w:rsidRPr="00720164" w14:paraId="0C6B3E4E" w14:textId="77777777" w:rsidTr="00F03B5C">
        <w:trPr>
          <w:cantSplit/>
          <w:tblHeader/>
        </w:trPr>
        <w:tc>
          <w:tcPr>
            <w:tcW w:w="2122" w:type="dxa"/>
            <w:tcBorders>
              <w:bottom w:val="single" w:sz="4" w:space="0" w:color="000000" w:themeColor="text1"/>
            </w:tcBorders>
            <w:shd w:val="clear" w:color="auto" w:fill="auto"/>
            <w:tcMar>
              <w:top w:w="113" w:type="dxa"/>
              <w:bottom w:w="113" w:type="dxa"/>
            </w:tcMar>
          </w:tcPr>
          <w:p w14:paraId="7B0773EC" w14:textId="77777777" w:rsidR="0068393B" w:rsidRDefault="009B2117" w:rsidP="00F03B5C">
            <w:pPr>
              <w:spacing w:after="120"/>
              <w:jc w:val="center"/>
              <w:rPr>
                <w:rFonts w:asciiTheme="minorHAnsi" w:hAnsiTheme="minorHAnsi" w:cstheme="minorHAnsi"/>
                <w:sz w:val="20"/>
              </w:rPr>
            </w:pPr>
            <w:r>
              <w:rPr>
                <w:rFonts w:asciiTheme="minorHAnsi" w:hAnsiTheme="minorHAnsi" w:cstheme="minorHAnsi"/>
                <w:sz w:val="20"/>
              </w:rPr>
              <w:t>1,3,6</w:t>
            </w:r>
          </w:p>
        </w:tc>
        <w:tc>
          <w:tcPr>
            <w:tcW w:w="13324" w:type="dxa"/>
            <w:tcBorders>
              <w:bottom w:val="single" w:sz="4" w:space="0" w:color="000000" w:themeColor="text1"/>
            </w:tcBorders>
            <w:shd w:val="clear" w:color="auto" w:fill="auto"/>
          </w:tcPr>
          <w:p w14:paraId="67F7119A" w14:textId="77777777" w:rsidR="0068393B" w:rsidRPr="00720164" w:rsidRDefault="0068393B" w:rsidP="00155E59">
            <w:pPr>
              <w:pStyle w:val="ListParagraph"/>
              <w:numPr>
                <w:ilvl w:val="0"/>
                <w:numId w:val="1"/>
              </w:numPr>
              <w:spacing w:after="120"/>
              <w:rPr>
                <w:rFonts w:asciiTheme="minorHAnsi" w:hAnsiTheme="minorHAnsi" w:cstheme="minorHAnsi"/>
                <w:sz w:val="20"/>
              </w:rPr>
            </w:pPr>
            <w:r>
              <w:rPr>
                <w:rFonts w:asciiTheme="minorHAnsi" w:hAnsiTheme="minorHAnsi" w:cstheme="minorHAnsi"/>
                <w:sz w:val="20"/>
              </w:rPr>
              <w:t>The Hub HLTA will plan and deliver targeted interventions to ensure all students are ready to access learning in class.</w:t>
            </w:r>
          </w:p>
        </w:tc>
      </w:tr>
      <w:tr w:rsidR="006A799C" w:rsidRPr="00720164" w14:paraId="5C2949A3" w14:textId="77777777" w:rsidTr="00F03B5C">
        <w:trPr>
          <w:cantSplit/>
          <w:tblHeader/>
        </w:trPr>
        <w:tc>
          <w:tcPr>
            <w:tcW w:w="2122" w:type="dxa"/>
            <w:tcBorders>
              <w:bottom w:val="single" w:sz="4" w:space="0" w:color="000000" w:themeColor="text1"/>
            </w:tcBorders>
            <w:shd w:val="clear" w:color="auto" w:fill="auto"/>
            <w:tcMar>
              <w:top w:w="113" w:type="dxa"/>
              <w:bottom w:w="113" w:type="dxa"/>
            </w:tcMar>
          </w:tcPr>
          <w:p w14:paraId="0941E565" w14:textId="77777777" w:rsidR="006A799C" w:rsidRDefault="009B2117" w:rsidP="00F03B5C">
            <w:pPr>
              <w:spacing w:after="120"/>
              <w:jc w:val="center"/>
              <w:rPr>
                <w:rFonts w:asciiTheme="minorHAnsi" w:hAnsiTheme="minorHAnsi" w:cstheme="minorHAnsi"/>
                <w:sz w:val="20"/>
              </w:rPr>
            </w:pPr>
            <w:r>
              <w:rPr>
                <w:rFonts w:asciiTheme="minorHAnsi" w:hAnsiTheme="minorHAnsi" w:cstheme="minorHAnsi"/>
                <w:sz w:val="20"/>
              </w:rPr>
              <w:t>4</w:t>
            </w:r>
          </w:p>
        </w:tc>
        <w:tc>
          <w:tcPr>
            <w:tcW w:w="13324" w:type="dxa"/>
            <w:tcBorders>
              <w:bottom w:val="single" w:sz="4" w:space="0" w:color="000000" w:themeColor="text1"/>
            </w:tcBorders>
            <w:shd w:val="clear" w:color="auto" w:fill="auto"/>
          </w:tcPr>
          <w:p w14:paraId="400A09DD" w14:textId="77777777" w:rsidR="006A799C" w:rsidRPr="00720164" w:rsidRDefault="006A799C" w:rsidP="00155E59">
            <w:pPr>
              <w:pStyle w:val="ListParagraph"/>
              <w:numPr>
                <w:ilvl w:val="0"/>
                <w:numId w:val="1"/>
              </w:numPr>
              <w:spacing w:after="120"/>
              <w:rPr>
                <w:rFonts w:asciiTheme="minorHAnsi" w:hAnsiTheme="minorHAnsi" w:cstheme="minorHAnsi"/>
                <w:sz w:val="20"/>
              </w:rPr>
            </w:pPr>
            <w:r>
              <w:rPr>
                <w:rFonts w:asciiTheme="minorHAnsi" w:hAnsiTheme="minorHAnsi" w:cstheme="minorHAnsi"/>
                <w:sz w:val="20"/>
              </w:rPr>
              <w:t xml:space="preserve">The </w:t>
            </w:r>
            <w:r w:rsidRPr="00720164">
              <w:rPr>
                <w:rFonts w:asciiTheme="minorHAnsi" w:hAnsiTheme="minorHAnsi" w:cstheme="minorHAnsi"/>
                <w:sz w:val="20"/>
              </w:rPr>
              <w:t>Rural Skills</w:t>
            </w:r>
            <w:r>
              <w:rPr>
                <w:rFonts w:asciiTheme="minorHAnsi" w:hAnsiTheme="minorHAnsi" w:cstheme="minorHAnsi"/>
                <w:sz w:val="20"/>
              </w:rPr>
              <w:t xml:space="preserve"> team will plan and deliver a range of outdoor learning opportunities at a universal and targeted level of intervention.</w:t>
            </w:r>
          </w:p>
        </w:tc>
      </w:tr>
      <w:tr w:rsidR="006A799C" w:rsidRPr="00720164" w14:paraId="62E4BF16" w14:textId="77777777" w:rsidTr="00F03B5C">
        <w:trPr>
          <w:cantSplit/>
          <w:tblHeader/>
        </w:trPr>
        <w:tc>
          <w:tcPr>
            <w:tcW w:w="2122" w:type="dxa"/>
            <w:tcBorders>
              <w:bottom w:val="single" w:sz="4" w:space="0" w:color="000000" w:themeColor="text1"/>
            </w:tcBorders>
            <w:shd w:val="clear" w:color="auto" w:fill="auto"/>
            <w:tcMar>
              <w:top w:w="113" w:type="dxa"/>
              <w:bottom w:w="113" w:type="dxa"/>
            </w:tcMar>
          </w:tcPr>
          <w:p w14:paraId="36FAD0B3" w14:textId="77777777" w:rsidR="006A799C" w:rsidRDefault="009B2117" w:rsidP="00F03B5C">
            <w:pPr>
              <w:spacing w:after="120"/>
              <w:jc w:val="center"/>
              <w:rPr>
                <w:rFonts w:asciiTheme="minorHAnsi" w:hAnsiTheme="minorHAnsi" w:cstheme="minorHAnsi"/>
                <w:sz w:val="20"/>
              </w:rPr>
            </w:pPr>
            <w:r>
              <w:rPr>
                <w:rFonts w:asciiTheme="minorHAnsi" w:hAnsiTheme="minorHAnsi" w:cstheme="minorHAnsi"/>
                <w:sz w:val="20"/>
              </w:rPr>
              <w:t>2,3,5</w:t>
            </w:r>
          </w:p>
        </w:tc>
        <w:tc>
          <w:tcPr>
            <w:tcW w:w="13324" w:type="dxa"/>
            <w:tcBorders>
              <w:bottom w:val="single" w:sz="4" w:space="0" w:color="000000" w:themeColor="text1"/>
            </w:tcBorders>
            <w:shd w:val="clear" w:color="auto" w:fill="auto"/>
          </w:tcPr>
          <w:p w14:paraId="4F253EBD" w14:textId="77777777" w:rsidR="006A799C" w:rsidRPr="00720164" w:rsidRDefault="006A799C" w:rsidP="00155E59">
            <w:pPr>
              <w:pStyle w:val="ListParagraph"/>
              <w:numPr>
                <w:ilvl w:val="0"/>
                <w:numId w:val="1"/>
              </w:numPr>
              <w:spacing w:after="120"/>
              <w:rPr>
                <w:rFonts w:asciiTheme="minorHAnsi" w:hAnsiTheme="minorHAnsi" w:cstheme="minorHAnsi"/>
                <w:sz w:val="20"/>
              </w:rPr>
            </w:pPr>
            <w:r w:rsidRPr="00720164">
              <w:rPr>
                <w:rFonts w:asciiTheme="minorHAnsi" w:hAnsiTheme="minorHAnsi" w:cstheme="minorHAnsi"/>
                <w:sz w:val="20"/>
              </w:rPr>
              <w:t>Students will be able to express themselves effectively, using AAC strategies where appropriate to support their language.</w:t>
            </w:r>
          </w:p>
        </w:tc>
      </w:tr>
      <w:tr w:rsidR="00CF046D" w:rsidRPr="00F94E61" w14:paraId="39AD5A3E" w14:textId="77777777" w:rsidTr="00BF0FA6">
        <w:trPr>
          <w:cantSplit/>
        </w:trPr>
        <w:tc>
          <w:tcPr>
            <w:tcW w:w="15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E1FF"/>
            <w:tcMar>
              <w:top w:w="113" w:type="dxa"/>
              <w:bottom w:w="113" w:type="dxa"/>
            </w:tcMar>
          </w:tcPr>
          <w:p w14:paraId="7C839471" w14:textId="77777777" w:rsidR="00CF046D" w:rsidRDefault="00CF046D" w:rsidP="00CF046D">
            <w:pPr>
              <w:spacing w:after="120"/>
              <w:jc w:val="center"/>
              <w:rPr>
                <w:rFonts w:asciiTheme="minorHAnsi" w:hAnsiTheme="minorHAnsi" w:cstheme="minorHAnsi"/>
                <w:b/>
                <w:caps/>
                <w:sz w:val="28"/>
                <w:szCs w:val="28"/>
              </w:rPr>
            </w:pPr>
            <w:r>
              <w:rPr>
                <w:rFonts w:asciiTheme="minorHAnsi" w:hAnsiTheme="minorHAnsi" w:cstheme="minorHAnsi"/>
                <w:b/>
                <w:caps/>
                <w:sz w:val="28"/>
                <w:szCs w:val="28"/>
              </w:rPr>
              <w:t>wider strategies</w:t>
            </w:r>
          </w:p>
          <w:p w14:paraId="5EE2B101" w14:textId="77777777" w:rsidR="001148D0" w:rsidRDefault="001148D0" w:rsidP="00CF046D">
            <w:pPr>
              <w:spacing w:after="120"/>
              <w:jc w:val="center"/>
              <w:rPr>
                <w:rFonts w:asciiTheme="minorHAnsi" w:hAnsiTheme="minorHAnsi" w:cstheme="minorHAnsi"/>
                <w:sz w:val="20"/>
              </w:rPr>
            </w:pPr>
          </w:p>
        </w:tc>
      </w:tr>
      <w:tr w:rsidR="00CF046D" w:rsidRPr="00F94E61" w14:paraId="2A9AE0E6" w14:textId="77777777" w:rsidTr="00BF0FA6">
        <w:trPr>
          <w:cantSplit/>
        </w:trPr>
        <w:tc>
          <w:tcPr>
            <w:tcW w:w="2122" w:type="dxa"/>
            <w:tcBorders>
              <w:top w:val="single" w:sz="4" w:space="0" w:color="000000" w:themeColor="text1"/>
              <w:bottom w:val="single" w:sz="4" w:space="0" w:color="D0CECE" w:themeColor="background2" w:themeShade="E6"/>
            </w:tcBorders>
            <w:shd w:val="clear" w:color="auto" w:fill="auto"/>
            <w:tcMar>
              <w:top w:w="113" w:type="dxa"/>
              <w:bottom w:w="113" w:type="dxa"/>
            </w:tcMar>
          </w:tcPr>
          <w:p w14:paraId="4A6BBF0F" w14:textId="77777777" w:rsidR="00CF046D" w:rsidRPr="00F94E61" w:rsidRDefault="00CF046D" w:rsidP="00CF046D">
            <w:pPr>
              <w:spacing w:after="120"/>
              <w:jc w:val="center"/>
              <w:rPr>
                <w:rFonts w:asciiTheme="minorHAnsi" w:hAnsiTheme="minorHAnsi" w:cstheme="minorHAnsi"/>
                <w:sz w:val="20"/>
              </w:rPr>
            </w:pPr>
            <w:r>
              <w:rPr>
                <w:rFonts w:asciiTheme="minorHAnsi" w:hAnsiTheme="minorHAnsi" w:cstheme="minorHAnsi"/>
                <w:sz w:val="20"/>
              </w:rPr>
              <w:t>Challenge number</w:t>
            </w:r>
          </w:p>
        </w:tc>
        <w:tc>
          <w:tcPr>
            <w:tcW w:w="13324" w:type="dxa"/>
            <w:tcBorders>
              <w:top w:val="single" w:sz="4" w:space="0" w:color="000000" w:themeColor="text1"/>
              <w:bottom w:val="single" w:sz="4" w:space="0" w:color="D0CECE" w:themeColor="background2" w:themeShade="E6"/>
            </w:tcBorders>
            <w:shd w:val="clear" w:color="auto" w:fill="auto"/>
          </w:tcPr>
          <w:p w14:paraId="228D87AE" w14:textId="77777777" w:rsidR="00CF046D" w:rsidRPr="00F94E61" w:rsidRDefault="00CF046D" w:rsidP="00CF046D">
            <w:pPr>
              <w:spacing w:after="120"/>
              <w:jc w:val="center"/>
              <w:rPr>
                <w:rFonts w:asciiTheme="minorHAnsi" w:hAnsiTheme="minorHAnsi" w:cstheme="minorHAnsi"/>
                <w:sz w:val="20"/>
              </w:rPr>
            </w:pPr>
            <w:r>
              <w:rPr>
                <w:rFonts w:asciiTheme="minorHAnsi" w:hAnsiTheme="minorHAnsi" w:cstheme="minorHAnsi"/>
                <w:sz w:val="20"/>
              </w:rPr>
              <w:t>Objective</w:t>
            </w:r>
          </w:p>
        </w:tc>
      </w:tr>
      <w:tr w:rsidR="006A799C" w:rsidRPr="00720164" w14:paraId="02A2174C" w14:textId="77777777" w:rsidTr="00F03B5C">
        <w:trPr>
          <w:cantSplit/>
          <w:tblHeader/>
        </w:trPr>
        <w:tc>
          <w:tcPr>
            <w:tcW w:w="2122" w:type="dxa"/>
            <w:tcBorders>
              <w:top w:val="single" w:sz="4" w:space="0" w:color="D0CECE" w:themeColor="background2" w:themeShade="E6"/>
              <w:bottom w:val="single" w:sz="4" w:space="0" w:color="D0CECE" w:themeColor="background2" w:themeShade="E6"/>
            </w:tcBorders>
            <w:shd w:val="clear" w:color="auto" w:fill="auto"/>
            <w:tcMar>
              <w:top w:w="113" w:type="dxa"/>
              <w:bottom w:w="113" w:type="dxa"/>
            </w:tcMar>
          </w:tcPr>
          <w:p w14:paraId="12B2A45C" w14:textId="77777777" w:rsidR="009B2117" w:rsidRDefault="009B2117" w:rsidP="00F03B5C">
            <w:pPr>
              <w:spacing w:after="120"/>
              <w:jc w:val="center"/>
              <w:rPr>
                <w:rFonts w:asciiTheme="minorHAnsi" w:hAnsiTheme="minorHAnsi" w:cstheme="minorHAnsi"/>
                <w:sz w:val="20"/>
              </w:rPr>
            </w:pPr>
            <w:r>
              <w:rPr>
                <w:rFonts w:asciiTheme="minorHAnsi" w:hAnsiTheme="minorHAnsi" w:cstheme="minorHAnsi"/>
                <w:sz w:val="20"/>
              </w:rPr>
              <w:lastRenderedPageBreak/>
              <w:t>3,5</w:t>
            </w:r>
          </w:p>
          <w:p w14:paraId="6A5817DD" w14:textId="77777777" w:rsidR="006A799C" w:rsidRPr="009B2117" w:rsidRDefault="006A799C" w:rsidP="009B2117">
            <w:pPr>
              <w:jc w:val="right"/>
              <w:rPr>
                <w:rFonts w:asciiTheme="minorHAnsi" w:hAnsiTheme="minorHAnsi" w:cstheme="minorHAnsi"/>
                <w:sz w:val="20"/>
              </w:rPr>
            </w:pPr>
          </w:p>
        </w:tc>
        <w:tc>
          <w:tcPr>
            <w:tcW w:w="13324" w:type="dxa"/>
            <w:tcBorders>
              <w:top w:val="single" w:sz="4" w:space="0" w:color="D0CECE" w:themeColor="background2" w:themeShade="E6"/>
              <w:bottom w:val="single" w:sz="4" w:space="0" w:color="D0CECE" w:themeColor="background2" w:themeShade="E6"/>
            </w:tcBorders>
            <w:shd w:val="clear" w:color="auto" w:fill="auto"/>
          </w:tcPr>
          <w:p w14:paraId="50986D33" w14:textId="77777777" w:rsidR="006A799C" w:rsidRPr="00720164" w:rsidRDefault="006A799C" w:rsidP="005746AE">
            <w:pPr>
              <w:pStyle w:val="ListParagraph"/>
              <w:numPr>
                <w:ilvl w:val="0"/>
                <w:numId w:val="1"/>
              </w:numPr>
              <w:spacing w:after="120"/>
              <w:rPr>
                <w:rFonts w:asciiTheme="minorHAnsi" w:hAnsiTheme="minorHAnsi" w:cstheme="minorHAnsi"/>
                <w:sz w:val="20"/>
              </w:rPr>
            </w:pPr>
            <w:r w:rsidRPr="00720164">
              <w:rPr>
                <w:rFonts w:asciiTheme="minorHAnsi" w:hAnsiTheme="minorHAnsi" w:cstheme="minorHAnsi"/>
                <w:sz w:val="20"/>
              </w:rPr>
              <w:t xml:space="preserve">CDMT Lead Teachers will monitor low, medium and high level </w:t>
            </w:r>
            <w:proofErr w:type="spellStart"/>
            <w:r w:rsidRPr="00720164">
              <w:rPr>
                <w:rFonts w:asciiTheme="minorHAnsi" w:hAnsiTheme="minorHAnsi" w:cstheme="minorHAnsi"/>
                <w:sz w:val="20"/>
              </w:rPr>
              <w:t>behaviours</w:t>
            </w:r>
            <w:proofErr w:type="spellEnd"/>
            <w:r w:rsidRPr="00720164">
              <w:rPr>
                <w:rFonts w:asciiTheme="minorHAnsi" w:hAnsiTheme="minorHAnsi" w:cstheme="minorHAnsi"/>
                <w:sz w:val="20"/>
              </w:rPr>
              <w:t xml:space="preserve"> and implement staff training, support, behavior plans or interventions where the need is identified, reducing the number of recorded incidents in relation to previous years.</w:t>
            </w:r>
          </w:p>
        </w:tc>
      </w:tr>
      <w:tr w:rsidR="006A799C" w:rsidRPr="00720164" w14:paraId="2CC6E73D" w14:textId="77777777" w:rsidTr="00F03B5C">
        <w:trPr>
          <w:cantSplit/>
          <w:tblHeader/>
        </w:trPr>
        <w:tc>
          <w:tcPr>
            <w:tcW w:w="2122" w:type="dxa"/>
            <w:tcBorders>
              <w:top w:val="single" w:sz="4" w:space="0" w:color="D0CECE" w:themeColor="background2" w:themeShade="E6"/>
              <w:bottom w:val="single" w:sz="4" w:space="0" w:color="D0CECE" w:themeColor="background2" w:themeShade="E6"/>
            </w:tcBorders>
            <w:shd w:val="clear" w:color="auto" w:fill="auto"/>
            <w:tcMar>
              <w:top w:w="113" w:type="dxa"/>
              <w:bottom w:w="113" w:type="dxa"/>
            </w:tcMar>
          </w:tcPr>
          <w:p w14:paraId="1F6462F4" w14:textId="77777777" w:rsidR="006A799C" w:rsidRDefault="009B2117" w:rsidP="00F03B5C">
            <w:pPr>
              <w:spacing w:after="120"/>
              <w:jc w:val="center"/>
              <w:rPr>
                <w:rFonts w:asciiTheme="minorHAnsi" w:hAnsiTheme="minorHAnsi" w:cstheme="minorHAnsi"/>
                <w:sz w:val="20"/>
              </w:rPr>
            </w:pPr>
            <w:r>
              <w:rPr>
                <w:rFonts w:asciiTheme="minorHAnsi" w:hAnsiTheme="minorHAnsi" w:cstheme="minorHAnsi"/>
                <w:sz w:val="20"/>
              </w:rPr>
              <w:t>3,4</w:t>
            </w:r>
          </w:p>
        </w:tc>
        <w:tc>
          <w:tcPr>
            <w:tcW w:w="13324" w:type="dxa"/>
            <w:tcBorders>
              <w:top w:val="single" w:sz="4" w:space="0" w:color="D0CECE" w:themeColor="background2" w:themeShade="E6"/>
              <w:bottom w:val="single" w:sz="4" w:space="0" w:color="D0CECE" w:themeColor="background2" w:themeShade="E6"/>
            </w:tcBorders>
            <w:shd w:val="clear" w:color="auto" w:fill="auto"/>
          </w:tcPr>
          <w:p w14:paraId="6934E1CA" w14:textId="77777777" w:rsidR="006A799C" w:rsidRPr="00720164" w:rsidRDefault="006A799C" w:rsidP="005746AE">
            <w:pPr>
              <w:pStyle w:val="ListParagraph"/>
              <w:numPr>
                <w:ilvl w:val="0"/>
                <w:numId w:val="1"/>
              </w:numPr>
              <w:spacing w:after="120"/>
              <w:rPr>
                <w:rFonts w:asciiTheme="minorHAnsi" w:hAnsiTheme="minorHAnsi" w:cstheme="minorHAnsi"/>
                <w:sz w:val="20"/>
              </w:rPr>
            </w:pPr>
            <w:r w:rsidRPr="00720164">
              <w:rPr>
                <w:rFonts w:asciiTheme="minorHAnsi" w:hAnsiTheme="minorHAnsi" w:cstheme="minorHAnsi"/>
                <w:sz w:val="20"/>
              </w:rPr>
              <w:t>Advocacy Lead will ensure all pupils have a voice in decisions which affect them, via our universal offer and staff CPD or targeted interventions.</w:t>
            </w:r>
          </w:p>
        </w:tc>
      </w:tr>
      <w:tr w:rsidR="006A799C" w:rsidRPr="00720164" w14:paraId="25E91E86" w14:textId="77777777" w:rsidTr="00F03B5C">
        <w:trPr>
          <w:cantSplit/>
          <w:tblHeader/>
        </w:trPr>
        <w:tc>
          <w:tcPr>
            <w:tcW w:w="2122" w:type="dxa"/>
            <w:tcBorders>
              <w:top w:val="single" w:sz="4" w:space="0" w:color="D0CECE" w:themeColor="background2" w:themeShade="E6"/>
              <w:bottom w:val="single" w:sz="4" w:space="0" w:color="D0CECE" w:themeColor="background2" w:themeShade="E6"/>
            </w:tcBorders>
            <w:shd w:val="clear" w:color="auto" w:fill="auto"/>
            <w:tcMar>
              <w:top w:w="113" w:type="dxa"/>
              <w:bottom w:w="113" w:type="dxa"/>
            </w:tcMar>
          </w:tcPr>
          <w:p w14:paraId="65A1D55E" w14:textId="77777777" w:rsidR="006A799C" w:rsidRDefault="009B2117" w:rsidP="00F03B5C">
            <w:pPr>
              <w:spacing w:after="120"/>
              <w:jc w:val="center"/>
              <w:rPr>
                <w:rFonts w:asciiTheme="minorHAnsi" w:hAnsiTheme="minorHAnsi" w:cstheme="minorHAnsi"/>
                <w:sz w:val="20"/>
              </w:rPr>
            </w:pPr>
            <w:r>
              <w:rPr>
                <w:rFonts w:asciiTheme="minorHAnsi" w:hAnsiTheme="minorHAnsi" w:cstheme="minorHAnsi"/>
                <w:sz w:val="20"/>
              </w:rPr>
              <w:t>4</w:t>
            </w:r>
          </w:p>
        </w:tc>
        <w:tc>
          <w:tcPr>
            <w:tcW w:w="13324" w:type="dxa"/>
            <w:tcBorders>
              <w:top w:val="single" w:sz="4" w:space="0" w:color="D0CECE" w:themeColor="background2" w:themeShade="E6"/>
              <w:bottom w:val="single" w:sz="4" w:space="0" w:color="D0CECE" w:themeColor="background2" w:themeShade="E6"/>
            </w:tcBorders>
            <w:shd w:val="clear" w:color="auto" w:fill="auto"/>
          </w:tcPr>
          <w:p w14:paraId="0C83588F" w14:textId="77777777" w:rsidR="006A799C" w:rsidRPr="00720164" w:rsidRDefault="006A799C" w:rsidP="005746AE">
            <w:pPr>
              <w:pStyle w:val="ListParagraph"/>
              <w:numPr>
                <w:ilvl w:val="0"/>
                <w:numId w:val="1"/>
              </w:numPr>
              <w:spacing w:after="120"/>
              <w:rPr>
                <w:rFonts w:asciiTheme="minorHAnsi" w:hAnsiTheme="minorHAnsi" w:cstheme="minorHAnsi"/>
                <w:sz w:val="20"/>
              </w:rPr>
            </w:pPr>
            <w:r w:rsidRPr="00720164">
              <w:rPr>
                <w:rFonts w:asciiTheme="minorHAnsi" w:hAnsiTheme="minorHAnsi" w:cstheme="minorHAnsi"/>
                <w:sz w:val="20"/>
              </w:rPr>
              <w:t>To increase</w:t>
            </w:r>
            <w:r>
              <w:rPr>
                <w:rFonts w:asciiTheme="minorHAnsi" w:hAnsiTheme="minorHAnsi" w:cstheme="minorHAnsi"/>
                <w:sz w:val="20"/>
              </w:rPr>
              <w:t xml:space="preserve"> the</w:t>
            </w:r>
            <w:r w:rsidRPr="00720164">
              <w:rPr>
                <w:rFonts w:asciiTheme="minorHAnsi" w:hAnsiTheme="minorHAnsi" w:cstheme="minorHAnsi"/>
                <w:sz w:val="20"/>
              </w:rPr>
              <w:t xml:space="preserve"> cultural capital</w:t>
            </w:r>
            <w:r>
              <w:rPr>
                <w:rFonts w:asciiTheme="minorHAnsi" w:hAnsiTheme="minorHAnsi" w:cstheme="minorHAnsi"/>
                <w:sz w:val="20"/>
              </w:rPr>
              <w:t xml:space="preserve"> of our students</w:t>
            </w:r>
            <w:r w:rsidRPr="00720164">
              <w:rPr>
                <w:rFonts w:asciiTheme="minorHAnsi" w:hAnsiTheme="minorHAnsi" w:cstheme="minorHAnsi"/>
                <w:sz w:val="20"/>
              </w:rPr>
              <w:t xml:space="preserve"> by providing offsite trips and activities for all pupils</w:t>
            </w:r>
          </w:p>
        </w:tc>
      </w:tr>
      <w:tr w:rsidR="006A799C" w:rsidRPr="00720164" w14:paraId="20B43098" w14:textId="77777777" w:rsidTr="00F03B5C">
        <w:trPr>
          <w:cantSplit/>
          <w:tblHeader/>
        </w:trPr>
        <w:tc>
          <w:tcPr>
            <w:tcW w:w="2122" w:type="dxa"/>
            <w:tcBorders>
              <w:top w:val="single" w:sz="4" w:space="0" w:color="D0CECE" w:themeColor="background2" w:themeShade="E6"/>
            </w:tcBorders>
            <w:shd w:val="clear" w:color="auto" w:fill="auto"/>
            <w:tcMar>
              <w:top w:w="113" w:type="dxa"/>
              <w:bottom w:w="113" w:type="dxa"/>
            </w:tcMar>
          </w:tcPr>
          <w:p w14:paraId="7B44B379" w14:textId="77777777" w:rsidR="006A799C" w:rsidRDefault="009B2117" w:rsidP="00F03B5C">
            <w:pPr>
              <w:spacing w:after="120"/>
              <w:jc w:val="center"/>
              <w:rPr>
                <w:rFonts w:asciiTheme="minorHAnsi" w:hAnsiTheme="minorHAnsi" w:cstheme="minorHAnsi"/>
                <w:sz w:val="20"/>
              </w:rPr>
            </w:pPr>
            <w:r>
              <w:rPr>
                <w:rFonts w:asciiTheme="minorHAnsi" w:hAnsiTheme="minorHAnsi" w:cstheme="minorHAnsi"/>
                <w:sz w:val="20"/>
              </w:rPr>
              <w:t>3,4</w:t>
            </w:r>
          </w:p>
        </w:tc>
        <w:tc>
          <w:tcPr>
            <w:tcW w:w="13324" w:type="dxa"/>
            <w:tcBorders>
              <w:top w:val="single" w:sz="4" w:space="0" w:color="D0CECE" w:themeColor="background2" w:themeShade="E6"/>
            </w:tcBorders>
            <w:shd w:val="clear" w:color="auto" w:fill="auto"/>
          </w:tcPr>
          <w:p w14:paraId="15A61D06" w14:textId="77777777" w:rsidR="006A799C" w:rsidRPr="00720164" w:rsidRDefault="006A799C" w:rsidP="005746AE">
            <w:pPr>
              <w:pStyle w:val="ListParagraph"/>
              <w:numPr>
                <w:ilvl w:val="0"/>
                <w:numId w:val="1"/>
              </w:numPr>
              <w:spacing w:after="120"/>
              <w:rPr>
                <w:rFonts w:asciiTheme="minorHAnsi" w:hAnsiTheme="minorHAnsi" w:cstheme="minorHAnsi"/>
                <w:sz w:val="20"/>
              </w:rPr>
            </w:pPr>
            <w:r>
              <w:rPr>
                <w:rFonts w:asciiTheme="minorHAnsi" w:hAnsiTheme="minorHAnsi" w:cstheme="minorHAnsi"/>
                <w:sz w:val="20"/>
              </w:rPr>
              <w:t xml:space="preserve">The Early Help Officer will support the DSL to signpost and support the families of disadvantaged students to improve attendance, behavior and engagement with learning. </w:t>
            </w:r>
          </w:p>
        </w:tc>
      </w:tr>
    </w:tbl>
    <w:p w14:paraId="3BB900A6" w14:textId="77777777" w:rsidR="00F94E61" w:rsidRPr="00F94E61" w:rsidRDefault="00F94E61" w:rsidP="00F94E61">
      <w:pPr>
        <w:spacing w:after="120"/>
        <w:rPr>
          <w:rFonts w:ascii="Arial" w:hAnsi="Arial" w:cs="Arial"/>
          <w:b/>
          <w:sz w:val="20"/>
          <w:szCs w:val="20"/>
        </w:rPr>
      </w:pPr>
    </w:p>
    <w:p w14:paraId="435ABA72" w14:textId="77777777" w:rsidR="00F94E61" w:rsidRPr="00FE1BE1" w:rsidRDefault="00F94E61" w:rsidP="00F94E61">
      <w:pPr>
        <w:spacing w:after="120"/>
        <w:rPr>
          <w:rFonts w:ascii="Arial" w:hAnsi="Arial" w:cs="Arial"/>
          <w:b/>
          <w:sz w:val="20"/>
          <w:szCs w:val="20"/>
        </w:rPr>
      </w:pPr>
      <w:r w:rsidRPr="00F94E61">
        <w:rPr>
          <w:rFonts w:ascii="Arial" w:hAnsi="Arial" w:cs="Arial"/>
          <w:b/>
          <w:sz w:val="20"/>
          <w:szCs w:val="20"/>
        </w:rPr>
        <w:t>Total pupil premium allocation for academic year</w:t>
      </w:r>
      <w:r w:rsidR="003619E9">
        <w:rPr>
          <w:rFonts w:ascii="Arial" w:hAnsi="Arial" w:cs="Arial"/>
          <w:b/>
          <w:sz w:val="20"/>
          <w:szCs w:val="20"/>
        </w:rPr>
        <w:t xml:space="preserve"> 2022-2023</w:t>
      </w:r>
      <w:r w:rsidRPr="00F94E61">
        <w:rPr>
          <w:rFonts w:ascii="Arial" w:hAnsi="Arial" w:cs="Arial"/>
          <w:b/>
          <w:sz w:val="20"/>
          <w:szCs w:val="20"/>
        </w:rPr>
        <w:t>:</w:t>
      </w:r>
      <w:r w:rsidR="0089255D">
        <w:rPr>
          <w:rFonts w:ascii="Arial" w:hAnsi="Arial" w:cs="Arial"/>
          <w:b/>
          <w:sz w:val="20"/>
          <w:szCs w:val="20"/>
        </w:rPr>
        <w:t xml:space="preserve"> £</w:t>
      </w:r>
      <w:r w:rsidR="003619E9">
        <w:rPr>
          <w:rFonts w:ascii="Arial" w:hAnsi="Arial" w:cs="Arial"/>
          <w:b/>
          <w:sz w:val="20"/>
          <w:szCs w:val="20"/>
        </w:rPr>
        <w:t>142984</w:t>
      </w:r>
    </w:p>
    <w:p w14:paraId="0AAF6E99" w14:textId="77777777" w:rsidR="00F94E61" w:rsidRPr="00F94E61" w:rsidRDefault="00F94E61" w:rsidP="00F94E61">
      <w:pPr>
        <w:spacing w:after="120"/>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37"/>
        <w:gridCol w:w="2396"/>
        <w:gridCol w:w="2559"/>
        <w:gridCol w:w="2614"/>
        <w:gridCol w:w="2617"/>
        <w:gridCol w:w="2665"/>
      </w:tblGrid>
      <w:tr w:rsidR="00CF046D" w:rsidRPr="00F94E61" w14:paraId="07EE8762" w14:textId="77777777" w:rsidTr="00570352">
        <w:trPr>
          <w:cantSplit/>
          <w:tblHeader/>
        </w:trPr>
        <w:tc>
          <w:tcPr>
            <w:tcW w:w="15388" w:type="dxa"/>
            <w:gridSpan w:val="6"/>
            <w:tcBorders>
              <w:top w:val="single" w:sz="4" w:space="0" w:color="12263F"/>
              <w:left w:val="single" w:sz="4" w:space="0" w:color="12263F"/>
              <w:bottom w:val="single" w:sz="4" w:space="0" w:color="12263F"/>
              <w:right w:val="single" w:sz="4" w:space="0" w:color="12263F"/>
              <w:tl2br w:val="nil"/>
              <w:tr2bl w:val="nil"/>
            </w:tcBorders>
            <w:shd w:val="clear" w:color="auto" w:fill="BDBDFF"/>
          </w:tcPr>
          <w:p w14:paraId="0732AC7E" w14:textId="77777777" w:rsidR="001E799C" w:rsidRDefault="001E799C" w:rsidP="00F94E61">
            <w:pPr>
              <w:spacing w:after="120"/>
              <w:rPr>
                <w:rFonts w:asciiTheme="minorHAnsi" w:hAnsiTheme="minorHAnsi" w:cstheme="minorHAnsi"/>
                <w:caps/>
              </w:rPr>
            </w:pPr>
            <w:r>
              <w:rPr>
                <w:rFonts w:asciiTheme="minorHAnsi" w:hAnsiTheme="minorHAnsi" w:cstheme="minorHAnsi"/>
                <w:caps/>
              </w:rPr>
              <w:t>High Qualtiy teaching</w:t>
            </w:r>
            <w:r w:rsidR="001148D0">
              <w:rPr>
                <w:rFonts w:asciiTheme="minorHAnsi" w:hAnsiTheme="minorHAnsi" w:cstheme="minorHAnsi"/>
                <w:caps/>
              </w:rPr>
              <w:t xml:space="preserve">: </w:t>
            </w:r>
            <w:r w:rsidR="001148D0" w:rsidRPr="001148D0">
              <w:rPr>
                <w:rFonts w:asciiTheme="minorHAnsi" w:hAnsiTheme="minorHAnsi" w:cstheme="minorHAnsi"/>
                <w:caps/>
                <w:sz w:val="20"/>
                <w:szCs w:val="20"/>
              </w:rPr>
              <w:t>Investment in high quality teaching, cdp, E</w:t>
            </w:r>
            <w:r w:rsidR="00C82300">
              <w:rPr>
                <w:rFonts w:asciiTheme="minorHAnsi" w:hAnsiTheme="minorHAnsi" w:cstheme="minorHAnsi"/>
                <w:caps/>
                <w:sz w:val="20"/>
                <w:szCs w:val="20"/>
              </w:rPr>
              <w:t xml:space="preserve">arly Careers framework teachers </w:t>
            </w:r>
            <w:r w:rsidR="00665976">
              <w:rPr>
                <w:rFonts w:asciiTheme="minorHAnsi" w:hAnsiTheme="minorHAnsi" w:cstheme="minorHAnsi"/>
                <w:caps/>
                <w:sz w:val="20"/>
                <w:szCs w:val="20"/>
              </w:rPr>
              <w:t>cpd and support</w:t>
            </w:r>
          </w:p>
          <w:p w14:paraId="3E100722" w14:textId="77777777" w:rsidR="00CF046D" w:rsidRPr="00F94E61" w:rsidRDefault="00CF046D" w:rsidP="00F94E61">
            <w:pPr>
              <w:spacing w:after="120"/>
              <w:rPr>
                <w:rFonts w:asciiTheme="minorHAnsi" w:hAnsiTheme="minorHAnsi" w:cstheme="minorHAnsi"/>
                <w:caps/>
                <w:color w:val="F8F8F8"/>
              </w:rPr>
            </w:pPr>
            <w:r w:rsidRPr="00F94E61">
              <w:rPr>
                <w:rFonts w:asciiTheme="minorHAnsi" w:hAnsiTheme="minorHAnsi" w:cstheme="minorHAnsi"/>
                <w:caps/>
              </w:rPr>
              <w:t>Objective</w:t>
            </w:r>
            <w:r w:rsidR="001E799C">
              <w:rPr>
                <w:rFonts w:asciiTheme="minorHAnsi" w:hAnsiTheme="minorHAnsi" w:cstheme="minorHAnsi"/>
                <w:caps/>
              </w:rPr>
              <w:t xml:space="preserve"> 1:</w:t>
            </w:r>
          </w:p>
        </w:tc>
      </w:tr>
      <w:tr w:rsidR="00CF046D" w:rsidRPr="00F94E61" w14:paraId="6AF66EF7" w14:textId="77777777" w:rsidTr="00CF046D">
        <w:trPr>
          <w:cantSplit/>
        </w:trPr>
        <w:tc>
          <w:tcPr>
            <w:tcW w:w="2537" w:type="dxa"/>
            <w:shd w:val="clear" w:color="auto" w:fill="auto"/>
            <w:tcMar>
              <w:top w:w="113" w:type="dxa"/>
              <w:bottom w:w="113" w:type="dxa"/>
            </w:tcMar>
          </w:tcPr>
          <w:p w14:paraId="64CC80E2" w14:textId="77777777" w:rsidR="00CF046D" w:rsidRPr="00F94E61" w:rsidRDefault="00CF046D" w:rsidP="00F94E61">
            <w:pPr>
              <w:spacing w:after="120"/>
              <w:jc w:val="center"/>
              <w:rPr>
                <w:rFonts w:ascii="Arial" w:hAnsi="Arial" w:cs="Arial"/>
                <w:sz w:val="20"/>
              </w:rPr>
            </w:pPr>
            <w:r w:rsidRPr="00F94E61">
              <w:rPr>
                <w:rFonts w:ascii="Arial" w:hAnsi="Arial" w:cs="Arial"/>
                <w:sz w:val="20"/>
              </w:rPr>
              <w:t>Actions</w:t>
            </w:r>
          </w:p>
        </w:tc>
        <w:tc>
          <w:tcPr>
            <w:tcW w:w="2396" w:type="dxa"/>
          </w:tcPr>
          <w:p w14:paraId="1479467B" w14:textId="77777777" w:rsidR="00CF046D" w:rsidRPr="00F94E61" w:rsidRDefault="00CF046D" w:rsidP="00F94E61">
            <w:pPr>
              <w:spacing w:after="120"/>
              <w:jc w:val="center"/>
              <w:rPr>
                <w:rFonts w:ascii="Arial" w:hAnsi="Arial" w:cs="Arial"/>
                <w:sz w:val="20"/>
              </w:rPr>
            </w:pPr>
            <w:r>
              <w:rPr>
                <w:rFonts w:ascii="Arial" w:hAnsi="Arial" w:cs="Arial"/>
                <w:sz w:val="20"/>
              </w:rPr>
              <w:t>Evidence that supports this approach</w:t>
            </w:r>
          </w:p>
        </w:tc>
        <w:tc>
          <w:tcPr>
            <w:tcW w:w="2559" w:type="dxa"/>
            <w:shd w:val="clear" w:color="auto" w:fill="auto"/>
            <w:tcMar>
              <w:top w:w="113" w:type="dxa"/>
              <w:bottom w:w="113" w:type="dxa"/>
            </w:tcMar>
          </w:tcPr>
          <w:p w14:paraId="0B919123" w14:textId="77777777" w:rsidR="00CF046D" w:rsidRPr="00F94E61" w:rsidRDefault="00CF046D" w:rsidP="00F94E61">
            <w:pPr>
              <w:spacing w:after="120"/>
              <w:jc w:val="center"/>
              <w:rPr>
                <w:rFonts w:ascii="Arial" w:hAnsi="Arial" w:cs="Arial"/>
                <w:sz w:val="20"/>
              </w:rPr>
            </w:pPr>
            <w:r w:rsidRPr="00F94E61">
              <w:rPr>
                <w:rFonts w:ascii="Arial" w:hAnsi="Arial" w:cs="Arial"/>
                <w:sz w:val="20"/>
              </w:rPr>
              <w:t>Cost/resource implications</w:t>
            </w:r>
          </w:p>
        </w:tc>
        <w:tc>
          <w:tcPr>
            <w:tcW w:w="2614" w:type="dxa"/>
            <w:shd w:val="clear" w:color="auto" w:fill="auto"/>
            <w:tcMar>
              <w:top w:w="113" w:type="dxa"/>
              <w:bottom w:w="113" w:type="dxa"/>
            </w:tcMar>
          </w:tcPr>
          <w:p w14:paraId="6A79A4E2" w14:textId="77777777" w:rsidR="00CF046D" w:rsidRPr="00F94E61" w:rsidRDefault="00CF046D" w:rsidP="00F94E61">
            <w:pPr>
              <w:spacing w:after="120"/>
              <w:jc w:val="center"/>
              <w:rPr>
                <w:rFonts w:ascii="Arial" w:hAnsi="Arial" w:cs="Arial"/>
                <w:sz w:val="20"/>
              </w:rPr>
            </w:pPr>
            <w:r w:rsidRPr="00F94E61">
              <w:rPr>
                <w:rFonts w:ascii="Arial" w:hAnsi="Arial" w:cs="Arial"/>
                <w:sz w:val="20"/>
              </w:rPr>
              <w:t>T</w:t>
            </w:r>
            <w:r>
              <w:rPr>
                <w:rFonts w:ascii="Arial" w:hAnsi="Arial" w:cs="Arial"/>
                <w:sz w:val="20"/>
              </w:rPr>
              <w:t>argeted groups</w:t>
            </w:r>
          </w:p>
        </w:tc>
        <w:tc>
          <w:tcPr>
            <w:tcW w:w="2617" w:type="dxa"/>
            <w:shd w:val="clear" w:color="auto" w:fill="auto"/>
            <w:tcMar>
              <w:top w:w="113" w:type="dxa"/>
              <w:bottom w:w="113" w:type="dxa"/>
            </w:tcMar>
          </w:tcPr>
          <w:p w14:paraId="57B762A5" w14:textId="77777777" w:rsidR="00CF046D" w:rsidRPr="00F94E61" w:rsidRDefault="00CF046D" w:rsidP="00F94E61">
            <w:pPr>
              <w:spacing w:after="120"/>
              <w:jc w:val="center"/>
              <w:rPr>
                <w:rFonts w:ascii="Arial" w:hAnsi="Arial" w:cs="Arial"/>
                <w:sz w:val="20"/>
              </w:rPr>
            </w:pPr>
            <w:r w:rsidRPr="00F94E61">
              <w:rPr>
                <w:rFonts w:ascii="Arial" w:hAnsi="Arial" w:cs="Arial"/>
                <w:sz w:val="20"/>
              </w:rPr>
              <w:t>Person responsible</w:t>
            </w:r>
          </w:p>
        </w:tc>
        <w:tc>
          <w:tcPr>
            <w:tcW w:w="2665" w:type="dxa"/>
            <w:shd w:val="clear" w:color="auto" w:fill="auto"/>
            <w:tcMar>
              <w:top w:w="113" w:type="dxa"/>
              <w:bottom w:w="113" w:type="dxa"/>
            </w:tcMar>
          </w:tcPr>
          <w:p w14:paraId="3150270A" w14:textId="77777777" w:rsidR="00CF046D" w:rsidRPr="00F94E61" w:rsidRDefault="00CF046D" w:rsidP="00F94E61">
            <w:pPr>
              <w:spacing w:after="120"/>
              <w:jc w:val="center"/>
              <w:rPr>
                <w:rFonts w:ascii="Arial" w:hAnsi="Arial" w:cs="Arial"/>
                <w:sz w:val="20"/>
              </w:rPr>
            </w:pPr>
            <w:r w:rsidRPr="00F94E61">
              <w:rPr>
                <w:rFonts w:ascii="Arial" w:hAnsi="Arial" w:cs="Arial"/>
                <w:sz w:val="20"/>
              </w:rPr>
              <w:t>Success criteria</w:t>
            </w:r>
            <w:r>
              <w:rPr>
                <w:rFonts w:ascii="Arial" w:hAnsi="Arial" w:cs="Arial"/>
                <w:sz w:val="20"/>
              </w:rPr>
              <w:t>/ Impact</w:t>
            </w:r>
          </w:p>
        </w:tc>
      </w:tr>
      <w:tr w:rsidR="00CF046D" w:rsidRPr="00F94E61" w14:paraId="12DA4CB4" w14:textId="77777777" w:rsidTr="00CF046D">
        <w:trPr>
          <w:cantSplit/>
        </w:trPr>
        <w:tc>
          <w:tcPr>
            <w:tcW w:w="2537" w:type="dxa"/>
            <w:shd w:val="clear" w:color="auto" w:fill="auto"/>
            <w:tcMar>
              <w:top w:w="113" w:type="dxa"/>
              <w:bottom w:w="113" w:type="dxa"/>
            </w:tcMar>
          </w:tcPr>
          <w:p w14:paraId="0B0BECC0" w14:textId="77777777" w:rsidR="00CF046D" w:rsidRPr="00F94E61" w:rsidRDefault="001E799C" w:rsidP="00F94E61">
            <w:pPr>
              <w:spacing w:after="120"/>
              <w:rPr>
                <w:rFonts w:ascii="Arial" w:hAnsi="Arial" w:cs="Arial"/>
                <w:sz w:val="20"/>
              </w:rPr>
            </w:pPr>
            <w:r>
              <w:rPr>
                <w:rFonts w:ascii="Arial" w:hAnsi="Arial" w:cs="Arial"/>
                <w:sz w:val="20"/>
              </w:rPr>
              <w:t>Pupil Premium Lead</w:t>
            </w:r>
            <w:r w:rsidR="00326024">
              <w:rPr>
                <w:rFonts w:ascii="Arial" w:hAnsi="Arial" w:cs="Arial"/>
                <w:sz w:val="20"/>
              </w:rPr>
              <w:t xml:space="preserve"> time</w:t>
            </w:r>
          </w:p>
        </w:tc>
        <w:tc>
          <w:tcPr>
            <w:tcW w:w="2396" w:type="dxa"/>
          </w:tcPr>
          <w:p w14:paraId="63862E55" w14:textId="77777777" w:rsidR="00CF046D" w:rsidRPr="00F94E61" w:rsidRDefault="00326024" w:rsidP="00F94E61">
            <w:pPr>
              <w:spacing w:after="120"/>
              <w:rPr>
                <w:rFonts w:ascii="Arial" w:hAnsi="Arial" w:cs="Arial"/>
                <w:sz w:val="20"/>
              </w:rPr>
            </w:pPr>
            <w:r>
              <w:rPr>
                <w:rFonts w:ascii="Arial" w:hAnsi="Arial" w:cs="Arial"/>
                <w:sz w:val="20"/>
              </w:rPr>
              <w:t xml:space="preserve">Time to </w:t>
            </w:r>
            <w:r w:rsidR="002F0E36">
              <w:rPr>
                <w:rFonts w:ascii="Arial" w:hAnsi="Arial" w:cs="Arial"/>
                <w:sz w:val="20"/>
              </w:rPr>
              <w:t xml:space="preserve">diagnose specific barriers disadvantaged pupils are facing and coordinate allocation of PP funding to ensure it is evidence based and reaches </w:t>
            </w:r>
            <w:r w:rsidR="002F0E36" w:rsidRPr="00550B37">
              <w:rPr>
                <w:rFonts w:ascii="Arial" w:hAnsi="Arial" w:cs="Arial"/>
                <w:sz w:val="20"/>
              </w:rPr>
              <w:t>pupils for whom it is intended and that it makes a significant impact on their education.</w:t>
            </w:r>
          </w:p>
        </w:tc>
        <w:tc>
          <w:tcPr>
            <w:tcW w:w="2559" w:type="dxa"/>
            <w:shd w:val="clear" w:color="auto" w:fill="auto"/>
            <w:tcMar>
              <w:top w:w="113" w:type="dxa"/>
              <w:bottom w:w="113" w:type="dxa"/>
            </w:tcMar>
          </w:tcPr>
          <w:p w14:paraId="2DAC4FA4" w14:textId="77777777" w:rsidR="00CF046D" w:rsidRDefault="008F0C4B" w:rsidP="00F94E61">
            <w:pPr>
              <w:spacing w:after="120"/>
              <w:rPr>
                <w:rFonts w:ascii="Arial" w:hAnsi="Arial" w:cs="Arial"/>
                <w:sz w:val="20"/>
              </w:rPr>
            </w:pPr>
            <w:r>
              <w:rPr>
                <w:rFonts w:ascii="Arial" w:hAnsi="Arial" w:cs="Arial"/>
                <w:sz w:val="20"/>
              </w:rPr>
              <w:t>4 hours a week</w:t>
            </w:r>
            <w:r w:rsidR="008442BD">
              <w:rPr>
                <w:rFonts w:ascii="Arial" w:hAnsi="Arial" w:cs="Arial"/>
                <w:sz w:val="20"/>
              </w:rPr>
              <w:t xml:space="preserve"> 8000</w:t>
            </w:r>
          </w:p>
          <w:p w14:paraId="46781B79" w14:textId="77777777" w:rsidR="008F0C4B" w:rsidRPr="00F94E61" w:rsidRDefault="008F0C4B" w:rsidP="00F94E61">
            <w:pPr>
              <w:spacing w:after="120"/>
              <w:rPr>
                <w:rFonts w:ascii="Arial" w:hAnsi="Arial" w:cs="Arial"/>
                <w:sz w:val="20"/>
              </w:rPr>
            </w:pPr>
          </w:p>
        </w:tc>
        <w:tc>
          <w:tcPr>
            <w:tcW w:w="2614" w:type="dxa"/>
            <w:shd w:val="clear" w:color="auto" w:fill="auto"/>
            <w:tcMar>
              <w:top w:w="113" w:type="dxa"/>
              <w:bottom w:w="113" w:type="dxa"/>
            </w:tcMar>
          </w:tcPr>
          <w:p w14:paraId="08C2C315" w14:textId="77777777" w:rsidR="006E0B6F" w:rsidRPr="00F94E61" w:rsidRDefault="006E0B6F" w:rsidP="00F94E61">
            <w:pPr>
              <w:spacing w:after="120"/>
              <w:rPr>
                <w:rFonts w:ascii="Arial" w:hAnsi="Arial" w:cs="Arial"/>
                <w:sz w:val="20"/>
              </w:rPr>
            </w:pPr>
            <w:r>
              <w:rPr>
                <w:rFonts w:ascii="Arial" w:hAnsi="Arial" w:cs="Arial"/>
                <w:sz w:val="20"/>
              </w:rPr>
              <w:t>Staff and pupils</w:t>
            </w:r>
          </w:p>
        </w:tc>
        <w:tc>
          <w:tcPr>
            <w:tcW w:w="2617" w:type="dxa"/>
            <w:shd w:val="clear" w:color="auto" w:fill="auto"/>
            <w:tcMar>
              <w:top w:w="113" w:type="dxa"/>
              <w:bottom w:w="113" w:type="dxa"/>
            </w:tcMar>
          </w:tcPr>
          <w:p w14:paraId="32C2B31A" w14:textId="77777777" w:rsidR="00CF046D" w:rsidRPr="00F94E61" w:rsidRDefault="008F0C4B" w:rsidP="00F94E61">
            <w:pPr>
              <w:spacing w:after="120"/>
              <w:rPr>
                <w:rFonts w:ascii="Arial" w:hAnsi="Arial" w:cs="Arial"/>
                <w:sz w:val="20"/>
              </w:rPr>
            </w:pPr>
            <w:r>
              <w:rPr>
                <w:rFonts w:ascii="Arial" w:hAnsi="Arial" w:cs="Arial"/>
                <w:sz w:val="20"/>
              </w:rPr>
              <w:t>Kate Preece</w:t>
            </w:r>
          </w:p>
        </w:tc>
        <w:tc>
          <w:tcPr>
            <w:tcW w:w="2665" w:type="dxa"/>
            <w:shd w:val="clear" w:color="auto" w:fill="auto"/>
            <w:tcMar>
              <w:top w:w="113" w:type="dxa"/>
              <w:bottom w:w="113" w:type="dxa"/>
            </w:tcMar>
          </w:tcPr>
          <w:p w14:paraId="725DC84E" w14:textId="77777777" w:rsidR="00CF046D" w:rsidRPr="00F94E61" w:rsidRDefault="006E0B6F" w:rsidP="00F94E61">
            <w:pPr>
              <w:spacing w:after="120"/>
              <w:rPr>
                <w:rFonts w:ascii="Arial" w:hAnsi="Arial" w:cs="Arial"/>
                <w:sz w:val="20"/>
              </w:rPr>
            </w:pPr>
            <w:r>
              <w:rPr>
                <w:rFonts w:ascii="Arial" w:hAnsi="Arial" w:cs="Arial"/>
                <w:sz w:val="20"/>
              </w:rPr>
              <w:t>School improvement approach meets needs of pupils and fulfils expectations of the pupil premium strategy document</w:t>
            </w:r>
            <w:r w:rsidR="00550B37">
              <w:rPr>
                <w:rFonts w:ascii="Arial" w:hAnsi="Arial" w:cs="Arial"/>
                <w:sz w:val="20"/>
              </w:rPr>
              <w:t xml:space="preserve">. </w:t>
            </w:r>
          </w:p>
        </w:tc>
      </w:tr>
      <w:tr w:rsidR="00CF046D" w:rsidRPr="00F94E61" w14:paraId="157BB3FA" w14:textId="77777777" w:rsidTr="00CF046D">
        <w:trPr>
          <w:cantSplit/>
        </w:trPr>
        <w:tc>
          <w:tcPr>
            <w:tcW w:w="2537" w:type="dxa"/>
            <w:shd w:val="clear" w:color="auto" w:fill="auto"/>
            <w:tcMar>
              <w:top w:w="113" w:type="dxa"/>
              <w:bottom w:w="113" w:type="dxa"/>
            </w:tcMar>
          </w:tcPr>
          <w:p w14:paraId="5BBD4C50" w14:textId="77777777" w:rsidR="00CF046D" w:rsidRPr="00F94E61" w:rsidRDefault="001E799C" w:rsidP="00F94E61">
            <w:pPr>
              <w:spacing w:after="120"/>
              <w:rPr>
                <w:rFonts w:ascii="Arial" w:hAnsi="Arial" w:cs="Arial"/>
                <w:sz w:val="20"/>
              </w:rPr>
            </w:pPr>
            <w:r>
              <w:rPr>
                <w:rFonts w:ascii="Arial" w:hAnsi="Arial" w:cs="Arial"/>
                <w:sz w:val="20"/>
              </w:rPr>
              <w:lastRenderedPageBreak/>
              <w:t xml:space="preserve">Assistant Head Teacher </w:t>
            </w:r>
            <w:r w:rsidR="00317A88">
              <w:rPr>
                <w:rFonts w:ascii="Arial" w:hAnsi="Arial" w:cs="Arial"/>
                <w:sz w:val="20"/>
              </w:rPr>
              <w:t>-</w:t>
            </w:r>
            <w:r>
              <w:rPr>
                <w:rFonts w:ascii="Arial" w:hAnsi="Arial" w:cs="Arial"/>
                <w:sz w:val="20"/>
              </w:rPr>
              <w:t>Training and CPD</w:t>
            </w:r>
          </w:p>
        </w:tc>
        <w:tc>
          <w:tcPr>
            <w:tcW w:w="2396" w:type="dxa"/>
          </w:tcPr>
          <w:p w14:paraId="08257860" w14:textId="77777777" w:rsidR="00CF046D" w:rsidRPr="00F94E61" w:rsidRDefault="004452C2" w:rsidP="00F94E61">
            <w:pPr>
              <w:spacing w:after="120"/>
              <w:rPr>
                <w:rFonts w:ascii="Arial" w:hAnsi="Arial" w:cs="Arial"/>
                <w:sz w:val="20"/>
              </w:rPr>
            </w:pPr>
            <w:r>
              <w:rPr>
                <w:rFonts w:ascii="Arial" w:hAnsi="Arial" w:cs="Arial"/>
                <w:sz w:val="20"/>
              </w:rPr>
              <w:t>EEF Effective Professional Development Guidance Report</w:t>
            </w:r>
          </w:p>
        </w:tc>
        <w:tc>
          <w:tcPr>
            <w:tcW w:w="2559" w:type="dxa"/>
            <w:shd w:val="clear" w:color="auto" w:fill="auto"/>
            <w:tcMar>
              <w:top w:w="113" w:type="dxa"/>
              <w:bottom w:w="113" w:type="dxa"/>
            </w:tcMar>
          </w:tcPr>
          <w:p w14:paraId="2087B027" w14:textId="77777777" w:rsidR="00CF046D" w:rsidRPr="00F94E61" w:rsidRDefault="008F0C4B" w:rsidP="00F94E61">
            <w:pPr>
              <w:spacing w:after="120"/>
              <w:rPr>
                <w:rFonts w:ascii="Arial" w:hAnsi="Arial" w:cs="Arial"/>
                <w:sz w:val="20"/>
              </w:rPr>
            </w:pPr>
            <w:r>
              <w:rPr>
                <w:rFonts w:ascii="Arial" w:hAnsi="Arial" w:cs="Arial"/>
                <w:sz w:val="20"/>
              </w:rPr>
              <w:t>10000</w:t>
            </w:r>
          </w:p>
        </w:tc>
        <w:tc>
          <w:tcPr>
            <w:tcW w:w="2614" w:type="dxa"/>
            <w:shd w:val="clear" w:color="auto" w:fill="auto"/>
            <w:tcMar>
              <w:top w:w="113" w:type="dxa"/>
              <w:bottom w:w="113" w:type="dxa"/>
            </w:tcMar>
          </w:tcPr>
          <w:p w14:paraId="107D8144" w14:textId="77777777" w:rsidR="00CF046D" w:rsidRDefault="00915BFE" w:rsidP="00F94E61">
            <w:pPr>
              <w:spacing w:after="120"/>
              <w:rPr>
                <w:rFonts w:ascii="Arial" w:hAnsi="Arial" w:cs="Arial"/>
                <w:sz w:val="20"/>
              </w:rPr>
            </w:pPr>
            <w:r>
              <w:rPr>
                <w:rFonts w:ascii="Arial" w:hAnsi="Arial" w:cs="Arial"/>
                <w:sz w:val="20"/>
              </w:rPr>
              <w:t>ECT</w:t>
            </w:r>
          </w:p>
          <w:p w14:paraId="39D4D0EA" w14:textId="77777777" w:rsidR="00915BFE" w:rsidRDefault="00915BFE" w:rsidP="00F94E61">
            <w:pPr>
              <w:spacing w:after="120"/>
              <w:rPr>
                <w:rFonts w:ascii="Arial" w:hAnsi="Arial" w:cs="Arial"/>
                <w:sz w:val="20"/>
              </w:rPr>
            </w:pPr>
            <w:r>
              <w:rPr>
                <w:rFonts w:ascii="Arial" w:hAnsi="Arial" w:cs="Arial"/>
                <w:sz w:val="20"/>
              </w:rPr>
              <w:t>Inducting new staff</w:t>
            </w:r>
          </w:p>
          <w:p w14:paraId="345F783A" w14:textId="77777777" w:rsidR="00915BFE" w:rsidRDefault="00915BFE" w:rsidP="00F94E61">
            <w:pPr>
              <w:spacing w:after="120"/>
              <w:rPr>
                <w:rFonts w:ascii="Arial" w:hAnsi="Arial" w:cs="Arial"/>
                <w:sz w:val="20"/>
              </w:rPr>
            </w:pPr>
            <w:r>
              <w:rPr>
                <w:rFonts w:ascii="Arial" w:hAnsi="Arial" w:cs="Arial"/>
                <w:sz w:val="20"/>
              </w:rPr>
              <w:t>Subject and KS Leads</w:t>
            </w:r>
          </w:p>
          <w:p w14:paraId="4D940D08" w14:textId="77777777" w:rsidR="00915BFE" w:rsidRDefault="00915BFE" w:rsidP="00F94E61">
            <w:pPr>
              <w:spacing w:after="120"/>
              <w:rPr>
                <w:rFonts w:ascii="Arial" w:hAnsi="Arial" w:cs="Arial"/>
                <w:sz w:val="20"/>
              </w:rPr>
            </w:pPr>
            <w:r>
              <w:rPr>
                <w:rFonts w:ascii="Arial" w:hAnsi="Arial" w:cs="Arial"/>
                <w:sz w:val="20"/>
              </w:rPr>
              <w:t>TA training</w:t>
            </w:r>
          </w:p>
          <w:p w14:paraId="43C4BC14" w14:textId="77777777" w:rsidR="00915BFE" w:rsidRDefault="00915BFE" w:rsidP="00F94E61">
            <w:pPr>
              <w:spacing w:after="120"/>
              <w:rPr>
                <w:rFonts w:ascii="Arial" w:hAnsi="Arial" w:cs="Arial"/>
                <w:sz w:val="20"/>
              </w:rPr>
            </w:pPr>
            <w:r>
              <w:rPr>
                <w:rFonts w:ascii="Arial" w:hAnsi="Arial" w:cs="Arial"/>
                <w:sz w:val="20"/>
              </w:rPr>
              <w:t>Team Teach training</w:t>
            </w:r>
          </w:p>
          <w:p w14:paraId="6D7032BD" w14:textId="77777777" w:rsidR="00915BFE" w:rsidRPr="00F94E61" w:rsidRDefault="00915BFE" w:rsidP="00F94E61">
            <w:pPr>
              <w:spacing w:after="120"/>
              <w:rPr>
                <w:rFonts w:ascii="Arial" w:hAnsi="Arial" w:cs="Arial"/>
                <w:sz w:val="20"/>
              </w:rPr>
            </w:pPr>
            <w:r>
              <w:rPr>
                <w:rFonts w:ascii="Arial" w:hAnsi="Arial" w:cs="Arial"/>
                <w:sz w:val="20"/>
              </w:rPr>
              <w:t>Coaching around T&amp;L</w:t>
            </w:r>
          </w:p>
        </w:tc>
        <w:tc>
          <w:tcPr>
            <w:tcW w:w="2617" w:type="dxa"/>
            <w:shd w:val="clear" w:color="auto" w:fill="auto"/>
            <w:tcMar>
              <w:top w:w="113" w:type="dxa"/>
              <w:bottom w:w="113" w:type="dxa"/>
            </w:tcMar>
          </w:tcPr>
          <w:p w14:paraId="045776F2" w14:textId="77777777" w:rsidR="00CF046D" w:rsidRPr="00F94E61" w:rsidRDefault="008F0C4B" w:rsidP="00F94E61">
            <w:pPr>
              <w:spacing w:after="120"/>
              <w:rPr>
                <w:rFonts w:ascii="Arial" w:hAnsi="Arial" w:cs="Arial"/>
                <w:sz w:val="20"/>
              </w:rPr>
            </w:pPr>
            <w:r>
              <w:rPr>
                <w:rFonts w:ascii="Arial" w:hAnsi="Arial" w:cs="Arial"/>
                <w:sz w:val="20"/>
              </w:rPr>
              <w:t>Robyn Emmerson</w:t>
            </w:r>
          </w:p>
        </w:tc>
        <w:tc>
          <w:tcPr>
            <w:tcW w:w="2665" w:type="dxa"/>
            <w:shd w:val="clear" w:color="auto" w:fill="auto"/>
            <w:tcMar>
              <w:top w:w="113" w:type="dxa"/>
              <w:bottom w:w="113" w:type="dxa"/>
            </w:tcMar>
          </w:tcPr>
          <w:p w14:paraId="2A7AE62D" w14:textId="77777777" w:rsidR="00D30EFD" w:rsidRDefault="00D30EFD" w:rsidP="00F94E61">
            <w:pPr>
              <w:spacing w:after="120"/>
              <w:rPr>
                <w:rFonts w:ascii="Arial" w:hAnsi="Arial" w:cs="Arial"/>
                <w:sz w:val="20"/>
              </w:rPr>
            </w:pPr>
            <w:r>
              <w:rPr>
                <w:rFonts w:ascii="Arial" w:hAnsi="Arial" w:cs="Arial"/>
                <w:sz w:val="20"/>
              </w:rPr>
              <w:t>Upskilled staff, higher quality teaching and learning</w:t>
            </w:r>
          </w:p>
          <w:p w14:paraId="47DD1208" w14:textId="77777777" w:rsidR="00D30EFD" w:rsidRDefault="00D30EFD" w:rsidP="00F94E61">
            <w:pPr>
              <w:spacing w:after="120"/>
              <w:rPr>
                <w:rFonts w:ascii="Arial" w:hAnsi="Arial" w:cs="Arial"/>
                <w:sz w:val="20"/>
              </w:rPr>
            </w:pPr>
            <w:r>
              <w:rPr>
                <w:rFonts w:ascii="Arial" w:hAnsi="Arial" w:cs="Arial"/>
                <w:sz w:val="20"/>
              </w:rPr>
              <w:t>Increased staff confidence</w:t>
            </w:r>
          </w:p>
          <w:p w14:paraId="070993E7" w14:textId="77777777" w:rsidR="00D30EFD" w:rsidRPr="00F94E61" w:rsidRDefault="00D30EFD" w:rsidP="00F94E61">
            <w:pPr>
              <w:spacing w:after="120"/>
              <w:rPr>
                <w:rFonts w:ascii="Arial" w:hAnsi="Arial" w:cs="Arial"/>
                <w:sz w:val="20"/>
              </w:rPr>
            </w:pPr>
            <w:r>
              <w:rPr>
                <w:rFonts w:ascii="Arial" w:hAnsi="Arial" w:cs="Arial"/>
                <w:sz w:val="20"/>
              </w:rPr>
              <w:t>Staff retention</w:t>
            </w:r>
          </w:p>
        </w:tc>
      </w:tr>
      <w:tr w:rsidR="00CF046D" w:rsidRPr="00F94E61" w14:paraId="5DE09E3A" w14:textId="77777777" w:rsidTr="00CF046D">
        <w:trPr>
          <w:cantSplit/>
        </w:trPr>
        <w:tc>
          <w:tcPr>
            <w:tcW w:w="2537" w:type="dxa"/>
            <w:shd w:val="clear" w:color="auto" w:fill="auto"/>
            <w:tcMar>
              <w:top w:w="113" w:type="dxa"/>
              <w:bottom w:w="113" w:type="dxa"/>
            </w:tcMar>
          </w:tcPr>
          <w:p w14:paraId="45B433FE" w14:textId="77777777" w:rsidR="00317A88" w:rsidRPr="00F94E61" w:rsidRDefault="001E799C" w:rsidP="00F94E61">
            <w:pPr>
              <w:spacing w:after="120"/>
              <w:rPr>
                <w:rFonts w:ascii="Arial" w:hAnsi="Arial" w:cs="Arial"/>
                <w:sz w:val="20"/>
              </w:rPr>
            </w:pPr>
            <w:r>
              <w:rPr>
                <w:rFonts w:ascii="Arial" w:hAnsi="Arial" w:cs="Arial"/>
                <w:sz w:val="20"/>
              </w:rPr>
              <w:t>Learning Resources</w:t>
            </w:r>
            <w:r w:rsidR="00317A88">
              <w:rPr>
                <w:rFonts w:ascii="Arial" w:hAnsi="Arial" w:cs="Arial"/>
                <w:sz w:val="20"/>
              </w:rPr>
              <w:t xml:space="preserve"> to support high quality T&amp;L, enabling all pupils to access learning</w:t>
            </w:r>
          </w:p>
        </w:tc>
        <w:tc>
          <w:tcPr>
            <w:tcW w:w="2396" w:type="dxa"/>
          </w:tcPr>
          <w:p w14:paraId="2D3B7DA1" w14:textId="77777777" w:rsidR="00CF046D" w:rsidRPr="00F94E61" w:rsidRDefault="00FE1BE1" w:rsidP="00F94E61">
            <w:pPr>
              <w:spacing w:after="120"/>
              <w:rPr>
                <w:rFonts w:ascii="Arial" w:hAnsi="Arial" w:cs="Arial"/>
                <w:sz w:val="20"/>
              </w:rPr>
            </w:pPr>
            <w:r>
              <w:rPr>
                <w:rFonts w:ascii="Arial" w:hAnsi="Arial" w:cs="Arial"/>
                <w:sz w:val="20"/>
              </w:rPr>
              <w:t>EEF Teaching and Learning Toolkit</w:t>
            </w:r>
          </w:p>
        </w:tc>
        <w:tc>
          <w:tcPr>
            <w:tcW w:w="2559" w:type="dxa"/>
            <w:shd w:val="clear" w:color="auto" w:fill="auto"/>
            <w:tcMar>
              <w:top w:w="113" w:type="dxa"/>
              <w:bottom w:w="113" w:type="dxa"/>
            </w:tcMar>
          </w:tcPr>
          <w:p w14:paraId="5E4F419C" w14:textId="77777777" w:rsidR="00CF046D" w:rsidRPr="00F94E61" w:rsidRDefault="00515DF2" w:rsidP="00F94E61">
            <w:pPr>
              <w:spacing w:after="120"/>
              <w:rPr>
                <w:rFonts w:ascii="Arial" w:hAnsi="Arial" w:cs="Arial"/>
                <w:sz w:val="20"/>
              </w:rPr>
            </w:pPr>
            <w:r>
              <w:rPr>
                <w:rFonts w:ascii="Arial" w:hAnsi="Arial" w:cs="Arial"/>
                <w:sz w:val="20"/>
              </w:rPr>
              <w:t>5</w:t>
            </w:r>
            <w:r w:rsidR="0083680F">
              <w:rPr>
                <w:rFonts w:ascii="Arial" w:hAnsi="Arial" w:cs="Arial"/>
                <w:sz w:val="20"/>
              </w:rPr>
              <w:t>484</w:t>
            </w:r>
          </w:p>
        </w:tc>
        <w:tc>
          <w:tcPr>
            <w:tcW w:w="2614" w:type="dxa"/>
            <w:shd w:val="clear" w:color="auto" w:fill="auto"/>
            <w:tcMar>
              <w:top w:w="113" w:type="dxa"/>
              <w:bottom w:w="113" w:type="dxa"/>
            </w:tcMar>
          </w:tcPr>
          <w:p w14:paraId="2194D963" w14:textId="77777777" w:rsidR="00CF046D" w:rsidRPr="00F94E61" w:rsidRDefault="00ED3C52" w:rsidP="00F94E61">
            <w:pPr>
              <w:spacing w:after="120"/>
              <w:rPr>
                <w:rFonts w:ascii="Arial" w:hAnsi="Arial" w:cs="Arial"/>
                <w:sz w:val="20"/>
              </w:rPr>
            </w:pPr>
            <w:r>
              <w:rPr>
                <w:rFonts w:ascii="Arial" w:hAnsi="Arial" w:cs="Arial"/>
                <w:sz w:val="20"/>
              </w:rPr>
              <w:t>All students</w:t>
            </w:r>
          </w:p>
        </w:tc>
        <w:tc>
          <w:tcPr>
            <w:tcW w:w="2617" w:type="dxa"/>
            <w:shd w:val="clear" w:color="auto" w:fill="auto"/>
            <w:tcMar>
              <w:top w:w="113" w:type="dxa"/>
              <w:bottom w:w="113" w:type="dxa"/>
            </w:tcMar>
          </w:tcPr>
          <w:p w14:paraId="66646B07" w14:textId="77777777" w:rsidR="00CF046D" w:rsidRPr="00F94E61" w:rsidRDefault="008F0C4B" w:rsidP="00F94E61">
            <w:pPr>
              <w:spacing w:after="120"/>
              <w:rPr>
                <w:rFonts w:ascii="Arial" w:hAnsi="Arial" w:cs="Arial"/>
                <w:sz w:val="20"/>
              </w:rPr>
            </w:pPr>
            <w:r>
              <w:rPr>
                <w:rFonts w:ascii="Arial" w:hAnsi="Arial" w:cs="Arial"/>
                <w:sz w:val="20"/>
              </w:rPr>
              <w:t>Kate Preece</w:t>
            </w:r>
          </w:p>
        </w:tc>
        <w:tc>
          <w:tcPr>
            <w:tcW w:w="2665" w:type="dxa"/>
            <w:shd w:val="clear" w:color="auto" w:fill="auto"/>
            <w:tcMar>
              <w:top w:w="113" w:type="dxa"/>
              <w:bottom w:w="113" w:type="dxa"/>
            </w:tcMar>
          </w:tcPr>
          <w:p w14:paraId="356AD0FF" w14:textId="77777777" w:rsidR="00CF046D" w:rsidRPr="00F94E61" w:rsidRDefault="002033D0" w:rsidP="00F94E61">
            <w:pPr>
              <w:spacing w:after="120"/>
              <w:rPr>
                <w:rFonts w:ascii="Arial" w:hAnsi="Arial" w:cs="Arial"/>
                <w:sz w:val="20"/>
              </w:rPr>
            </w:pPr>
            <w:r>
              <w:rPr>
                <w:rFonts w:ascii="Arial" w:hAnsi="Arial" w:cs="Arial"/>
                <w:sz w:val="20"/>
              </w:rPr>
              <w:t>High quality teaching supported by engaging and purposeful learning resources</w:t>
            </w:r>
          </w:p>
        </w:tc>
      </w:tr>
    </w:tbl>
    <w:p w14:paraId="0D22FDE0" w14:textId="77777777" w:rsidR="00F94E61" w:rsidRDefault="00F94E61" w:rsidP="00F94E61">
      <w:pPr>
        <w:spacing w:after="120"/>
        <w:rPr>
          <w:rFonts w:ascii="Arial" w:hAnsi="Arial" w:cs="Arial"/>
          <w:sz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37"/>
        <w:gridCol w:w="2396"/>
        <w:gridCol w:w="2559"/>
        <w:gridCol w:w="2614"/>
        <w:gridCol w:w="2617"/>
        <w:gridCol w:w="2665"/>
      </w:tblGrid>
      <w:tr w:rsidR="00CF046D" w:rsidRPr="00F94E61" w14:paraId="1AAF2B3B" w14:textId="77777777" w:rsidTr="00570352">
        <w:trPr>
          <w:cantSplit/>
          <w:tblHeader/>
        </w:trPr>
        <w:tc>
          <w:tcPr>
            <w:tcW w:w="15388" w:type="dxa"/>
            <w:gridSpan w:val="6"/>
            <w:tcBorders>
              <w:top w:val="single" w:sz="4" w:space="0" w:color="12263F"/>
              <w:left w:val="single" w:sz="4" w:space="0" w:color="12263F"/>
              <w:bottom w:val="single" w:sz="4" w:space="0" w:color="12263F"/>
              <w:right w:val="single" w:sz="4" w:space="0" w:color="12263F"/>
              <w:tl2br w:val="nil"/>
              <w:tr2bl w:val="nil"/>
            </w:tcBorders>
            <w:shd w:val="clear" w:color="auto" w:fill="BDBDFF"/>
          </w:tcPr>
          <w:p w14:paraId="127235F2" w14:textId="77777777" w:rsidR="001E799C" w:rsidRDefault="001E799C" w:rsidP="00570352">
            <w:pPr>
              <w:spacing w:after="120"/>
              <w:rPr>
                <w:rFonts w:asciiTheme="minorHAnsi" w:hAnsiTheme="minorHAnsi" w:cstheme="minorHAnsi"/>
                <w:caps/>
              </w:rPr>
            </w:pPr>
            <w:r>
              <w:rPr>
                <w:rFonts w:asciiTheme="minorHAnsi" w:hAnsiTheme="minorHAnsi" w:cstheme="minorHAnsi"/>
                <w:caps/>
              </w:rPr>
              <w:t>targeted academic support:</w:t>
            </w:r>
            <w:r w:rsidR="001148D0">
              <w:rPr>
                <w:rFonts w:asciiTheme="minorHAnsi" w:hAnsiTheme="minorHAnsi" w:cstheme="minorHAnsi"/>
                <w:caps/>
              </w:rPr>
              <w:t xml:space="preserve"> Interventions</w:t>
            </w:r>
          </w:p>
          <w:p w14:paraId="428C47E6" w14:textId="77777777" w:rsidR="00CF046D" w:rsidRPr="00F94E61" w:rsidRDefault="00CF046D" w:rsidP="00570352">
            <w:pPr>
              <w:spacing w:after="120"/>
              <w:rPr>
                <w:rFonts w:asciiTheme="minorHAnsi" w:hAnsiTheme="minorHAnsi" w:cstheme="minorHAnsi"/>
                <w:caps/>
                <w:color w:val="F8F8F8"/>
              </w:rPr>
            </w:pPr>
            <w:r w:rsidRPr="00F94E61">
              <w:rPr>
                <w:rFonts w:asciiTheme="minorHAnsi" w:hAnsiTheme="minorHAnsi" w:cstheme="minorHAnsi"/>
                <w:caps/>
              </w:rPr>
              <w:t>Objective 1</w:t>
            </w:r>
          </w:p>
        </w:tc>
      </w:tr>
      <w:tr w:rsidR="00CF046D" w:rsidRPr="00F94E61" w14:paraId="01B06B78" w14:textId="77777777" w:rsidTr="00570352">
        <w:trPr>
          <w:cantSplit/>
        </w:trPr>
        <w:tc>
          <w:tcPr>
            <w:tcW w:w="2537" w:type="dxa"/>
            <w:shd w:val="clear" w:color="auto" w:fill="auto"/>
            <w:tcMar>
              <w:top w:w="113" w:type="dxa"/>
              <w:bottom w:w="113" w:type="dxa"/>
            </w:tcMar>
          </w:tcPr>
          <w:p w14:paraId="4D1A46C2" w14:textId="77777777" w:rsidR="00CF046D" w:rsidRPr="00F94E61" w:rsidRDefault="00CF046D" w:rsidP="00570352">
            <w:pPr>
              <w:spacing w:after="120"/>
              <w:jc w:val="center"/>
              <w:rPr>
                <w:rFonts w:ascii="Arial" w:hAnsi="Arial" w:cs="Arial"/>
                <w:sz w:val="20"/>
              </w:rPr>
            </w:pPr>
            <w:r w:rsidRPr="00F94E61">
              <w:rPr>
                <w:rFonts w:ascii="Arial" w:hAnsi="Arial" w:cs="Arial"/>
                <w:sz w:val="20"/>
              </w:rPr>
              <w:t>Actions</w:t>
            </w:r>
          </w:p>
        </w:tc>
        <w:tc>
          <w:tcPr>
            <w:tcW w:w="2396" w:type="dxa"/>
          </w:tcPr>
          <w:p w14:paraId="04194F88" w14:textId="77777777" w:rsidR="00CF046D" w:rsidRPr="00F94E61" w:rsidRDefault="00CF046D" w:rsidP="00570352">
            <w:pPr>
              <w:spacing w:after="120"/>
              <w:jc w:val="center"/>
              <w:rPr>
                <w:rFonts w:ascii="Arial" w:hAnsi="Arial" w:cs="Arial"/>
                <w:sz w:val="20"/>
              </w:rPr>
            </w:pPr>
            <w:r>
              <w:rPr>
                <w:rFonts w:ascii="Arial" w:hAnsi="Arial" w:cs="Arial"/>
                <w:sz w:val="20"/>
              </w:rPr>
              <w:t>Evidence that supports this approach</w:t>
            </w:r>
          </w:p>
        </w:tc>
        <w:tc>
          <w:tcPr>
            <w:tcW w:w="2559" w:type="dxa"/>
            <w:shd w:val="clear" w:color="auto" w:fill="auto"/>
            <w:tcMar>
              <w:top w:w="113" w:type="dxa"/>
              <w:bottom w:w="113" w:type="dxa"/>
            </w:tcMar>
          </w:tcPr>
          <w:p w14:paraId="5A0CB9B8" w14:textId="77777777" w:rsidR="00CF046D" w:rsidRPr="00F94E61" w:rsidRDefault="00CF046D" w:rsidP="00570352">
            <w:pPr>
              <w:spacing w:after="120"/>
              <w:jc w:val="center"/>
              <w:rPr>
                <w:rFonts w:ascii="Arial" w:hAnsi="Arial" w:cs="Arial"/>
                <w:sz w:val="20"/>
              </w:rPr>
            </w:pPr>
            <w:r w:rsidRPr="00F94E61">
              <w:rPr>
                <w:rFonts w:ascii="Arial" w:hAnsi="Arial" w:cs="Arial"/>
                <w:sz w:val="20"/>
              </w:rPr>
              <w:t>Cost/resource implications</w:t>
            </w:r>
          </w:p>
        </w:tc>
        <w:tc>
          <w:tcPr>
            <w:tcW w:w="2614" w:type="dxa"/>
            <w:shd w:val="clear" w:color="auto" w:fill="auto"/>
            <w:tcMar>
              <w:top w:w="113" w:type="dxa"/>
              <w:bottom w:w="113" w:type="dxa"/>
            </w:tcMar>
          </w:tcPr>
          <w:p w14:paraId="353DB338" w14:textId="77777777" w:rsidR="00CF046D" w:rsidRPr="00F94E61" w:rsidRDefault="00CF046D" w:rsidP="00570352">
            <w:pPr>
              <w:spacing w:after="120"/>
              <w:jc w:val="center"/>
              <w:rPr>
                <w:rFonts w:ascii="Arial" w:hAnsi="Arial" w:cs="Arial"/>
                <w:sz w:val="20"/>
              </w:rPr>
            </w:pPr>
            <w:r w:rsidRPr="00F94E61">
              <w:rPr>
                <w:rFonts w:ascii="Arial" w:hAnsi="Arial" w:cs="Arial"/>
                <w:sz w:val="20"/>
              </w:rPr>
              <w:t>T</w:t>
            </w:r>
            <w:r>
              <w:rPr>
                <w:rFonts w:ascii="Arial" w:hAnsi="Arial" w:cs="Arial"/>
                <w:sz w:val="20"/>
              </w:rPr>
              <w:t>argeted groups</w:t>
            </w:r>
          </w:p>
        </w:tc>
        <w:tc>
          <w:tcPr>
            <w:tcW w:w="2617" w:type="dxa"/>
            <w:shd w:val="clear" w:color="auto" w:fill="auto"/>
            <w:tcMar>
              <w:top w:w="113" w:type="dxa"/>
              <w:bottom w:w="113" w:type="dxa"/>
            </w:tcMar>
          </w:tcPr>
          <w:p w14:paraId="1B1129FD" w14:textId="77777777" w:rsidR="00CF046D" w:rsidRPr="00F94E61" w:rsidRDefault="00CF046D" w:rsidP="00570352">
            <w:pPr>
              <w:spacing w:after="120"/>
              <w:jc w:val="center"/>
              <w:rPr>
                <w:rFonts w:ascii="Arial" w:hAnsi="Arial" w:cs="Arial"/>
                <w:sz w:val="20"/>
              </w:rPr>
            </w:pPr>
            <w:r w:rsidRPr="00F94E61">
              <w:rPr>
                <w:rFonts w:ascii="Arial" w:hAnsi="Arial" w:cs="Arial"/>
                <w:sz w:val="20"/>
              </w:rPr>
              <w:t>Person responsible</w:t>
            </w:r>
          </w:p>
        </w:tc>
        <w:tc>
          <w:tcPr>
            <w:tcW w:w="2665" w:type="dxa"/>
            <w:shd w:val="clear" w:color="auto" w:fill="auto"/>
            <w:tcMar>
              <w:top w:w="113" w:type="dxa"/>
              <w:bottom w:w="113" w:type="dxa"/>
            </w:tcMar>
          </w:tcPr>
          <w:p w14:paraId="7C847CB0" w14:textId="77777777" w:rsidR="00CF046D" w:rsidRPr="00F94E61" w:rsidRDefault="00CF046D" w:rsidP="00570352">
            <w:pPr>
              <w:spacing w:after="120"/>
              <w:jc w:val="center"/>
              <w:rPr>
                <w:rFonts w:ascii="Arial" w:hAnsi="Arial" w:cs="Arial"/>
                <w:sz w:val="20"/>
              </w:rPr>
            </w:pPr>
            <w:r w:rsidRPr="00F94E61">
              <w:rPr>
                <w:rFonts w:ascii="Arial" w:hAnsi="Arial" w:cs="Arial"/>
                <w:sz w:val="20"/>
              </w:rPr>
              <w:t>Success criteria</w:t>
            </w:r>
            <w:r>
              <w:rPr>
                <w:rFonts w:ascii="Arial" w:hAnsi="Arial" w:cs="Arial"/>
                <w:sz w:val="20"/>
              </w:rPr>
              <w:t>/ Impact</w:t>
            </w:r>
          </w:p>
        </w:tc>
      </w:tr>
      <w:tr w:rsidR="00CF046D" w:rsidRPr="00F94E61" w14:paraId="5B3EA902" w14:textId="77777777" w:rsidTr="00570352">
        <w:trPr>
          <w:cantSplit/>
        </w:trPr>
        <w:tc>
          <w:tcPr>
            <w:tcW w:w="2537" w:type="dxa"/>
            <w:shd w:val="clear" w:color="auto" w:fill="auto"/>
            <w:tcMar>
              <w:top w:w="113" w:type="dxa"/>
              <w:bottom w:w="113" w:type="dxa"/>
            </w:tcMar>
          </w:tcPr>
          <w:p w14:paraId="68179410" w14:textId="77777777" w:rsidR="00CF046D" w:rsidRPr="00F94E61" w:rsidRDefault="00570352" w:rsidP="00570352">
            <w:pPr>
              <w:spacing w:after="120"/>
              <w:rPr>
                <w:rFonts w:ascii="Arial" w:hAnsi="Arial" w:cs="Arial"/>
                <w:sz w:val="20"/>
              </w:rPr>
            </w:pPr>
            <w:r>
              <w:rPr>
                <w:rFonts w:ascii="Arial" w:hAnsi="Arial" w:cs="Arial"/>
                <w:sz w:val="20"/>
              </w:rPr>
              <w:t>Literacy HLTA</w:t>
            </w:r>
            <w:r w:rsidR="00487C49">
              <w:rPr>
                <w:rFonts w:ascii="Arial" w:hAnsi="Arial" w:cs="Arial"/>
                <w:sz w:val="20"/>
              </w:rPr>
              <w:t xml:space="preserve"> </w:t>
            </w:r>
            <w:r w:rsidR="00DE0869">
              <w:rPr>
                <w:rFonts w:ascii="Arial" w:hAnsi="Arial" w:cs="Arial"/>
                <w:sz w:val="20"/>
              </w:rPr>
              <w:t>to track phonics attainment and run targeted interventions</w:t>
            </w:r>
          </w:p>
        </w:tc>
        <w:tc>
          <w:tcPr>
            <w:tcW w:w="2396" w:type="dxa"/>
          </w:tcPr>
          <w:p w14:paraId="6B980FDD" w14:textId="77777777" w:rsidR="00CF046D" w:rsidRDefault="004452C2" w:rsidP="00570352">
            <w:pPr>
              <w:spacing w:after="120"/>
              <w:rPr>
                <w:rFonts w:ascii="Arial" w:hAnsi="Arial" w:cs="Arial"/>
                <w:sz w:val="20"/>
              </w:rPr>
            </w:pPr>
            <w:r>
              <w:rPr>
                <w:rFonts w:ascii="Arial" w:hAnsi="Arial" w:cs="Arial"/>
                <w:sz w:val="20"/>
              </w:rPr>
              <w:t>EEF Teaching and Learning Toolkit</w:t>
            </w:r>
          </w:p>
          <w:p w14:paraId="43A59143" w14:textId="77777777" w:rsidR="004452C2" w:rsidRPr="00F94E61" w:rsidRDefault="004452C2" w:rsidP="00570352">
            <w:pPr>
              <w:spacing w:after="120"/>
              <w:rPr>
                <w:rFonts w:ascii="Arial" w:hAnsi="Arial" w:cs="Arial"/>
                <w:sz w:val="20"/>
              </w:rPr>
            </w:pPr>
            <w:r>
              <w:rPr>
                <w:rFonts w:ascii="Arial" w:hAnsi="Arial" w:cs="Arial"/>
                <w:sz w:val="20"/>
              </w:rPr>
              <w:t>EEF Improving Literacy in KS1 and KS2</w:t>
            </w:r>
          </w:p>
        </w:tc>
        <w:tc>
          <w:tcPr>
            <w:tcW w:w="2559" w:type="dxa"/>
            <w:shd w:val="clear" w:color="auto" w:fill="auto"/>
            <w:tcMar>
              <w:top w:w="113" w:type="dxa"/>
              <w:bottom w:w="113" w:type="dxa"/>
            </w:tcMar>
          </w:tcPr>
          <w:p w14:paraId="41C29A78" w14:textId="77777777" w:rsidR="00CF046D" w:rsidRPr="00F94E61" w:rsidRDefault="0083680F" w:rsidP="00570352">
            <w:pPr>
              <w:spacing w:after="120"/>
              <w:rPr>
                <w:rFonts w:ascii="Arial" w:hAnsi="Arial" w:cs="Arial"/>
                <w:sz w:val="20"/>
              </w:rPr>
            </w:pPr>
            <w:r>
              <w:rPr>
                <w:rFonts w:ascii="Arial" w:hAnsi="Arial" w:cs="Arial"/>
                <w:sz w:val="20"/>
              </w:rPr>
              <w:t>27000</w:t>
            </w:r>
          </w:p>
        </w:tc>
        <w:tc>
          <w:tcPr>
            <w:tcW w:w="2614" w:type="dxa"/>
            <w:shd w:val="clear" w:color="auto" w:fill="auto"/>
            <w:tcMar>
              <w:top w:w="113" w:type="dxa"/>
              <w:bottom w:w="113" w:type="dxa"/>
            </w:tcMar>
          </w:tcPr>
          <w:p w14:paraId="61ACD358" w14:textId="77777777" w:rsidR="00CF046D" w:rsidRPr="00F94E61" w:rsidRDefault="00ED3C52" w:rsidP="00570352">
            <w:pPr>
              <w:spacing w:after="120"/>
              <w:rPr>
                <w:rFonts w:ascii="Arial" w:hAnsi="Arial" w:cs="Arial"/>
                <w:sz w:val="20"/>
              </w:rPr>
            </w:pPr>
            <w:r>
              <w:rPr>
                <w:rFonts w:ascii="Arial" w:hAnsi="Arial" w:cs="Arial"/>
                <w:sz w:val="20"/>
              </w:rPr>
              <w:t xml:space="preserve">All subject specific pathway learners </w:t>
            </w:r>
            <w:r w:rsidR="00487C49">
              <w:rPr>
                <w:rFonts w:ascii="Arial" w:hAnsi="Arial" w:cs="Arial"/>
                <w:sz w:val="20"/>
              </w:rPr>
              <w:t xml:space="preserve">from EYFS to end of Key Stage 2. </w:t>
            </w:r>
          </w:p>
        </w:tc>
        <w:tc>
          <w:tcPr>
            <w:tcW w:w="2617" w:type="dxa"/>
            <w:shd w:val="clear" w:color="auto" w:fill="auto"/>
            <w:tcMar>
              <w:top w:w="113" w:type="dxa"/>
              <w:bottom w:w="113" w:type="dxa"/>
            </w:tcMar>
          </w:tcPr>
          <w:p w14:paraId="3E34CA6F" w14:textId="77777777" w:rsidR="008F0C4B" w:rsidRPr="00F94E61" w:rsidRDefault="00A26218" w:rsidP="00570352">
            <w:pPr>
              <w:spacing w:after="120"/>
              <w:rPr>
                <w:rFonts w:ascii="Arial" w:hAnsi="Arial" w:cs="Arial"/>
                <w:sz w:val="20"/>
              </w:rPr>
            </w:pPr>
            <w:r>
              <w:rPr>
                <w:rFonts w:ascii="Arial" w:hAnsi="Arial" w:cs="Arial"/>
                <w:sz w:val="20"/>
              </w:rPr>
              <w:t>Amber McMenamie</w:t>
            </w:r>
          </w:p>
        </w:tc>
        <w:tc>
          <w:tcPr>
            <w:tcW w:w="2665" w:type="dxa"/>
            <w:shd w:val="clear" w:color="auto" w:fill="auto"/>
            <w:tcMar>
              <w:top w:w="113" w:type="dxa"/>
              <w:bottom w:w="113" w:type="dxa"/>
            </w:tcMar>
          </w:tcPr>
          <w:p w14:paraId="0A46DAA5" w14:textId="77777777" w:rsidR="00CF046D" w:rsidRPr="00F94E61" w:rsidRDefault="00487C49" w:rsidP="00570352">
            <w:pPr>
              <w:spacing w:after="120"/>
              <w:rPr>
                <w:rFonts w:ascii="Arial" w:hAnsi="Arial" w:cs="Arial"/>
                <w:sz w:val="20"/>
              </w:rPr>
            </w:pPr>
            <w:r>
              <w:rPr>
                <w:rFonts w:ascii="Arial" w:hAnsi="Arial" w:cs="Arial"/>
                <w:sz w:val="20"/>
              </w:rPr>
              <w:t>No attainment gap in phonics between PP and non-PP pupils</w:t>
            </w:r>
          </w:p>
        </w:tc>
      </w:tr>
      <w:tr w:rsidR="0039288C" w:rsidRPr="00F94E61" w14:paraId="78D9BF82" w14:textId="77777777" w:rsidTr="00570352">
        <w:trPr>
          <w:cantSplit/>
        </w:trPr>
        <w:tc>
          <w:tcPr>
            <w:tcW w:w="2537" w:type="dxa"/>
            <w:shd w:val="clear" w:color="auto" w:fill="auto"/>
            <w:tcMar>
              <w:top w:w="113" w:type="dxa"/>
              <w:bottom w:w="113" w:type="dxa"/>
            </w:tcMar>
          </w:tcPr>
          <w:p w14:paraId="0DE68CFE" w14:textId="77777777" w:rsidR="0039288C" w:rsidRDefault="0039288C" w:rsidP="00570352">
            <w:pPr>
              <w:spacing w:after="120"/>
              <w:rPr>
                <w:rFonts w:ascii="Arial" w:hAnsi="Arial" w:cs="Arial"/>
                <w:sz w:val="20"/>
              </w:rPr>
            </w:pPr>
            <w:r>
              <w:rPr>
                <w:rFonts w:ascii="Arial" w:hAnsi="Arial" w:cs="Arial"/>
                <w:sz w:val="20"/>
              </w:rPr>
              <w:t>CDMT Hub HLTA</w:t>
            </w:r>
          </w:p>
        </w:tc>
        <w:tc>
          <w:tcPr>
            <w:tcW w:w="2396" w:type="dxa"/>
          </w:tcPr>
          <w:p w14:paraId="60BBA8E4" w14:textId="77777777" w:rsidR="0068393B" w:rsidRPr="0068393B" w:rsidRDefault="0068393B" w:rsidP="0068393B">
            <w:pPr>
              <w:spacing w:after="120"/>
              <w:rPr>
                <w:rFonts w:ascii="Arial" w:hAnsi="Arial" w:cs="Arial"/>
                <w:sz w:val="20"/>
              </w:rPr>
            </w:pPr>
            <w:r w:rsidRPr="0068393B">
              <w:rPr>
                <w:rFonts w:ascii="Arial" w:hAnsi="Arial" w:cs="Arial"/>
                <w:sz w:val="20"/>
              </w:rPr>
              <w:t>One to one tuition</w:t>
            </w:r>
            <w:r>
              <w:rPr>
                <w:rFonts w:ascii="Arial" w:hAnsi="Arial" w:cs="Arial"/>
                <w:sz w:val="20"/>
              </w:rPr>
              <w:t xml:space="preserve">, </w:t>
            </w:r>
            <w:r w:rsidRPr="0068393B">
              <w:rPr>
                <w:rFonts w:ascii="Arial" w:hAnsi="Arial" w:cs="Arial"/>
                <w:sz w:val="20"/>
              </w:rPr>
              <w:t xml:space="preserve">EEF </w:t>
            </w:r>
          </w:p>
          <w:p w14:paraId="1A4B0AA6" w14:textId="77777777" w:rsidR="0039288C" w:rsidRDefault="0068393B" w:rsidP="0068393B">
            <w:pPr>
              <w:spacing w:after="120"/>
              <w:rPr>
                <w:rFonts w:ascii="Arial" w:hAnsi="Arial" w:cs="Arial"/>
                <w:sz w:val="20"/>
              </w:rPr>
            </w:pPr>
            <w:r w:rsidRPr="0068393B">
              <w:rPr>
                <w:rFonts w:ascii="Arial" w:hAnsi="Arial" w:cs="Arial"/>
                <w:sz w:val="20"/>
              </w:rPr>
              <w:t>And in small groups:</w:t>
            </w:r>
            <w:r>
              <w:rPr>
                <w:rFonts w:ascii="Arial" w:hAnsi="Arial" w:cs="Arial"/>
                <w:sz w:val="20"/>
              </w:rPr>
              <w:t xml:space="preserve"> </w:t>
            </w:r>
            <w:r w:rsidRPr="0068393B">
              <w:rPr>
                <w:rFonts w:ascii="Arial" w:hAnsi="Arial" w:cs="Arial"/>
                <w:sz w:val="20"/>
              </w:rPr>
              <w:t>Small group tuition</w:t>
            </w:r>
            <w:r>
              <w:rPr>
                <w:rFonts w:ascii="Arial" w:hAnsi="Arial" w:cs="Arial"/>
                <w:sz w:val="20"/>
              </w:rPr>
              <w:t xml:space="preserve">- </w:t>
            </w:r>
            <w:r w:rsidRPr="0068393B">
              <w:rPr>
                <w:rFonts w:ascii="Arial" w:hAnsi="Arial" w:cs="Arial"/>
                <w:sz w:val="20"/>
              </w:rPr>
              <w:t>Toolkit Strand</w:t>
            </w:r>
            <w:r>
              <w:rPr>
                <w:rFonts w:ascii="Arial" w:hAnsi="Arial" w:cs="Arial"/>
                <w:sz w:val="20"/>
              </w:rPr>
              <w:t xml:space="preserve">, </w:t>
            </w:r>
            <w:r w:rsidRPr="0068393B">
              <w:rPr>
                <w:rFonts w:ascii="Arial" w:hAnsi="Arial" w:cs="Arial"/>
                <w:sz w:val="20"/>
              </w:rPr>
              <w:t>Education Endowment Foundation</w:t>
            </w:r>
            <w:r>
              <w:rPr>
                <w:rFonts w:ascii="Arial" w:hAnsi="Arial" w:cs="Arial"/>
                <w:sz w:val="20"/>
              </w:rPr>
              <w:t xml:space="preserve">, </w:t>
            </w:r>
            <w:r w:rsidRPr="0068393B">
              <w:rPr>
                <w:rFonts w:ascii="Arial" w:hAnsi="Arial" w:cs="Arial"/>
                <w:sz w:val="20"/>
              </w:rPr>
              <w:t>EEF</w:t>
            </w:r>
          </w:p>
        </w:tc>
        <w:tc>
          <w:tcPr>
            <w:tcW w:w="2559" w:type="dxa"/>
            <w:shd w:val="clear" w:color="auto" w:fill="auto"/>
            <w:tcMar>
              <w:top w:w="113" w:type="dxa"/>
              <w:bottom w:w="113" w:type="dxa"/>
            </w:tcMar>
          </w:tcPr>
          <w:p w14:paraId="4BE43149" w14:textId="77777777" w:rsidR="0039288C" w:rsidRDefault="0039288C" w:rsidP="0039288C">
            <w:pPr>
              <w:spacing w:after="120"/>
              <w:jc w:val="both"/>
              <w:rPr>
                <w:rFonts w:ascii="Arial" w:hAnsi="Arial" w:cs="Arial"/>
                <w:sz w:val="20"/>
              </w:rPr>
            </w:pPr>
            <w:r>
              <w:rPr>
                <w:rFonts w:ascii="Arial" w:hAnsi="Arial" w:cs="Arial"/>
                <w:sz w:val="20"/>
              </w:rPr>
              <w:t>30000</w:t>
            </w:r>
          </w:p>
        </w:tc>
        <w:tc>
          <w:tcPr>
            <w:tcW w:w="2614" w:type="dxa"/>
            <w:shd w:val="clear" w:color="auto" w:fill="auto"/>
            <w:tcMar>
              <w:top w:w="113" w:type="dxa"/>
              <w:bottom w:w="113" w:type="dxa"/>
            </w:tcMar>
          </w:tcPr>
          <w:p w14:paraId="0C439317" w14:textId="77777777" w:rsidR="00A26218" w:rsidRDefault="00A26218" w:rsidP="00A26218">
            <w:pPr>
              <w:spacing w:after="120"/>
              <w:rPr>
                <w:rFonts w:ascii="Arial" w:hAnsi="Arial" w:cs="Arial"/>
                <w:sz w:val="20"/>
              </w:rPr>
            </w:pPr>
            <w:r>
              <w:rPr>
                <w:rFonts w:ascii="Arial" w:hAnsi="Arial" w:cs="Arial"/>
                <w:sz w:val="20"/>
              </w:rPr>
              <w:t xml:space="preserve">Students communicating through </w:t>
            </w:r>
            <w:proofErr w:type="spellStart"/>
            <w:r>
              <w:rPr>
                <w:rFonts w:ascii="Arial" w:hAnsi="Arial" w:cs="Arial"/>
                <w:sz w:val="20"/>
              </w:rPr>
              <w:t>behaviour</w:t>
            </w:r>
            <w:proofErr w:type="spellEnd"/>
          </w:p>
          <w:p w14:paraId="176E9D78" w14:textId="77777777" w:rsidR="0039288C" w:rsidRDefault="00A26218" w:rsidP="00A26218">
            <w:pPr>
              <w:spacing w:after="120"/>
              <w:rPr>
                <w:rFonts w:ascii="Arial" w:hAnsi="Arial" w:cs="Arial"/>
                <w:sz w:val="20"/>
              </w:rPr>
            </w:pPr>
            <w:r>
              <w:rPr>
                <w:rFonts w:ascii="Arial" w:hAnsi="Arial" w:cs="Arial"/>
                <w:sz w:val="20"/>
              </w:rPr>
              <w:t>Disadvantaged students and those who have been exposed to adverse childhood experiences</w:t>
            </w:r>
          </w:p>
        </w:tc>
        <w:tc>
          <w:tcPr>
            <w:tcW w:w="2617" w:type="dxa"/>
            <w:shd w:val="clear" w:color="auto" w:fill="auto"/>
            <w:tcMar>
              <w:top w:w="113" w:type="dxa"/>
              <w:bottom w:w="113" w:type="dxa"/>
            </w:tcMar>
          </w:tcPr>
          <w:p w14:paraId="099BBC58" w14:textId="77777777" w:rsidR="0039288C" w:rsidRDefault="0068393B" w:rsidP="00570352">
            <w:pPr>
              <w:spacing w:after="120"/>
              <w:rPr>
                <w:rFonts w:ascii="Arial" w:hAnsi="Arial" w:cs="Arial"/>
                <w:sz w:val="20"/>
              </w:rPr>
            </w:pPr>
            <w:r>
              <w:rPr>
                <w:rFonts w:ascii="Arial" w:hAnsi="Arial" w:cs="Arial"/>
                <w:sz w:val="20"/>
              </w:rPr>
              <w:t>Kevin Riley/ Charlie Millar</w:t>
            </w:r>
          </w:p>
        </w:tc>
        <w:tc>
          <w:tcPr>
            <w:tcW w:w="2665" w:type="dxa"/>
            <w:shd w:val="clear" w:color="auto" w:fill="auto"/>
            <w:tcMar>
              <w:top w:w="113" w:type="dxa"/>
              <w:bottom w:w="113" w:type="dxa"/>
            </w:tcMar>
          </w:tcPr>
          <w:p w14:paraId="369534D7" w14:textId="77777777" w:rsidR="0039288C" w:rsidRDefault="00A26218" w:rsidP="00570352">
            <w:pPr>
              <w:spacing w:after="120"/>
              <w:rPr>
                <w:rFonts w:ascii="Arial" w:hAnsi="Arial" w:cs="Arial"/>
                <w:sz w:val="20"/>
              </w:rPr>
            </w:pPr>
            <w:r>
              <w:rPr>
                <w:rFonts w:ascii="Arial" w:hAnsi="Arial" w:cs="Arial"/>
                <w:sz w:val="20"/>
              </w:rPr>
              <w:t>All children and young people engaged in learning</w:t>
            </w:r>
          </w:p>
          <w:p w14:paraId="1518F0C7" w14:textId="77777777" w:rsidR="00A26218" w:rsidRDefault="00A26218" w:rsidP="00570352">
            <w:pPr>
              <w:spacing w:after="120"/>
              <w:rPr>
                <w:rFonts w:ascii="Arial" w:hAnsi="Arial" w:cs="Arial"/>
                <w:sz w:val="20"/>
              </w:rPr>
            </w:pPr>
            <w:r>
              <w:rPr>
                <w:rFonts w:ascii="Arial" w:hAnsi="Arial" w:cs="Arial"/>
                <w:sz w:val="20"/>
              </w:rPr>
              <w:t>Improvement in self-regulation skills, reducing logged behavior incidents</w:t>
            </w:r>
          </w:p>
        </w:tc>
      </w:tr>
      <w:tr w:rsidR="00CF046D" w:rsidRPr="00F94E61" w14:paraId="36FEF120" w14:textId="77777777" w:rsidTr="00570352">
        <w:trPr>
          <w:cantSplit/>
        </w:trPr>
        <w:tc>
          <w:tcPr>
            <w:tcW w:w="2537" w:type="dxa"/>
            <w:shd w:val="clear" w:color="auto" w:fill="auto"/>
            <w:tcMar>
              <w:top w:w="113" w:type="dxa"/>
              <w:bottom w:w="113" w:type="dxa"/>
            </w:tcMar>
          </w:tcPr>
          <w:p w14:paraId="5494C76D" w14:textId="77777777" w:rsidR="00CF046D" w:rsidRPr="00F94E61" w:rsidRDefault="0009425A" w:rsidP="00570352">
            <w:pPr>
              <w:spacing w:after="120"/>
              <w:rPr>
                <w:rFonts w:ascii="Arial" w:hAnsi="Arial" w:cs="Arial"/>
                <w:sz w:val="20"/>
              </w:rPr>
            </w:pPr>
            <w:r>
              <w:rPr>
                <w:rFonts w:ascii="Arial" w:hAnsi="Arial" w:cs="Arial"/>
                <w:sz w:val="20"/>
              </w:rPr>
              <w:lastRenderedPageBreak/>
              <w:t>Rural skills</w:t>
            </w:r>
            <w:r w:rsidR="00006C83">
              <w:rPr>
                <w:rFonts w:ascii="Arial" w:hAnsi="Arial" w:cs="Arial"/>
                <w:sz w:val="20"/>
              </w:rPr>
              <w:t xml:space="preserve"> team to maintain rural skills provision and run targeted interventions</w:t>
            </w:r>
          </w:p>
        </w:tc>
        <w:tc>
          <w:tcPr>
            <w:tcW w:w="2396" w:type="dxa"/>
          </w:tcPr>
          <w:p w14:paraId="6AB37B55" w14:textId="77777777" w:rsidR="00CF046D" w:rsidRPr="00F94E61" w:rsidRDefault="00E16608" w:rsidP="00570352">
            <w:pPr>
              <w:spacing w:after="120"/>
              <w:rPr>
                <w:rFonts w:ascii="Arial" w:hAnsi="Arial" w:cs="Arial"/>
                <w:sz w:val="20"/>
              </w:rPr>
            </w:pPr>
            <w:r>
              <w:rPr>
                <w:rFonts w:ascii="Arial" w:hAnsi="Arial" w:cs="Arial"/>
                <w:sz w:val="20"/>
              </w:rPr>
              <w:t>EEF Learning Toolkit states there is a wider evidence base to indicate that outdoor learning has positive impacts on self-efficacy, motivation and teamwork, and plays an important role in part of the wider school experience.</w:t>
            </w:r>
          </w:p>
        </w:tc>
        <w:tc>
          <w:tcPr>
            <w:tcW w:w="2559" w:type="dxa"/>
            <w:shd w:val="clear" w:color="auto" w:fill="auto"/>
            <w:tcMar>
              <w:top w:w="113" w:type="dxa"/>
              <w:bottom w:w="113" w:type="dxa"/>
            </w:tcMar>
          </w:tcPr>
          <w:p w14:paraId="028F6AD0" w14:textId="77777777" w:rsidR="00CF046D" w:rsidRPr="00F94E61" w:rsidRDefault="00515DF2" w:rsidP="00570352">
            <w:pPr>
              <w:spacing w:after="120"/>
              <w:rPr>
                <w:rFonts w:ascii="Arial" w:hAnsi="Arial" w:cs="Arial"/>
                <w:sz w:val="20"/>
              </w:rPr>
            </w:pPr>
            <w:r>
              <w:rPr>
                <w:rFonts w:ascii="Arial" w:hAnsi="Arial" w:cs="Arial"/>
                <w:sz w:val="20"/>
              </w:rPr>
              <w:t>8000</w:t>
            </w:r>
          </w:p>
        </w:tc>
        <w:tc>
          <w:tcPr>
            <w:tcW w:w="2614" w:type="dxa"/>
            <w:shd w:val="clear" w:color="auto" w:fill="auto"/>
            <w:tcMar>
              <w:top w:w="113" w:type="dxa"/>
              <w:bottom w:w="113" w:type="dxa"/>
            </w:tcMar>
          </w:tcPr>
          <w:p w14:paraId="53015580" w14:textId="77777777" w:rsidR="00CF046D" w:rsidRDefault="00223CCD" w:rsidP="00570352">
            <w:pPr>
              <w:spacing w:after="120"/>
              <w:rPr>
                <w:rFonts w:ascii="Arial" w:hAnsi="Arial" w:cs="Arial"/>
                <w:sz w:val="20"/>
              </w:rPr>
            </w:pPr>
            <w:r>
              <w:rPr>
                <w:rFonts w:ascii="Arial" w:hAnsi="Arial" w:cs="Arial"/>
                <w:sz w:val="20"/>
              </w:rPr>
              <w:t>Universal: all students to have access to rural skills provision</w:t>
            </w:r>
          </w:p>
          <w:p w14:paraId="7539E238" w14:textId="77777777" w:rsidR="00223CCD" w:rsidRDefault="00223CCD" w:rsidP="00570352">
            <w:pPr>
              <w:spacing w:after="120"/>
              <w:rPr>
                <w:rFonts w:ascii="Arial" w:hAnsi="Arial" w:cs="Arial"/>
                <w:sz w:val="20"/>
              </w:rPr>
            </w:pPr>
            <w:r>
              <w:rPr>
                <w:rFonts w:ascii="Arial" w:hAnsi="Arial" w:cs="Arial"/>
                <w:sz w:val="20"/>
              </w:rPr>
              <w:t xml:space="preserve">Targeted: individual </w:t>
            </w:r>
            <w:r w:rsidR="002033D0">
              <w:rPr>
                <w:rFonts w:ascii="Arial" w:hAnsi="Arial" w:cs="Arial"/>
                <w:sz w:val="20"/>
              </w:rPr>
              <w:t>pupils</w:t>
            </w:r>
            <w:r>
              <w:rPr>
                <w:rFonts w:ascii="Arial" w:hAnsi="Arial" w:cs="Arial"/>
                <w:sz w:val="20"/>
              </w:rPr>
              <w:t xml:space="preserve"> to access 1:1 intervention where need is identified</w:t>
            </w:r>
            <w:r w:rsidR="002033D0">
              <w:rPr>
                <w:rFonts w:ascii="Arial" w:hAnsi="Arial" w:cs="Arial"/>
                <w:sz w:val="20"/>
              </w:rPr>
              <w:t xml:space="preserve"> for a defined number of sessions</w:t>
            </w:r>
          </w:p>
          <w:p w14:paraId="48A88391" w14:textId="77777777" w:rsidR="00223CCD" w:rsidRPr="00F94E61" w:rsidRDefault="00223CCD" w:rsidP="00570352">
            <w:pPr>
              <w:spacing w:after="120"/>
              <w:rPr>
                <w:rFonts w:ascii="Arial" w:hAnsi="Arial" w:cs="Arial"/>
                <w:sz w:val="20"/>
              </w:rPr>
            </w:pPr>
            <w:r>
              <w:rPr>
                <w:rFonts w:ascii="Arial" w:hAnsi="Arial" w:cs="Arial"/>
                <w:sz w:val="20"/>
              </w:rPr>
              <w:t xml:space="preserve">Intensive: </w:t>
            </w:r>
            <w:r w:rsidR="002033D0">
              <w:rPr>
                <w:rFonts w:ascii="Arial" w:hAnsi="Arial" w:cs="Arial"/>
                <w:sz w:val="20"/>
              </w:rPr>
              <w:t>Longer term</w:t>
            </w:r>
            <w:r>
              <w:rPr>
                <w:rFonts w:ascii="Arial" w:hAnsi="Arial" w:cs="Arial"/>
                <w:sz w:val="20"/>
              </w:rPr>
              <w:t xml:space="preserve"> 1:1 intervention</w:t>
            </w:r>
            <w:r w:rsidR="002033D0">
              <w:rPr>
                <w:rFonts w:ascii="Arial" w:hAnsi="Arial" w:cs="Arial"/>
                <w:sz w:val="20"/>
              </w:rPr>
              <w:t>’</w:t>
            </w:r>
            <w:r>
              <w:rPr>
                <w:rFonts w:ascii="Arial" w:hAnsi="Arial" w:cs="Arial"/>
                <w:sz w:val="20"/>
              </w:rPr>
              <w:t xml:space="preserve">s with </w:t>
            </w:r>
            <w:r w:rsidR="002033D0">
              <w:rPr>
                <w:rFonts w:ascii="Arial" w:hAnsi="Arial" w:cs="Arial"/>
                <w:sz w:val="20"/>
              </w:rPr>
              <w:t xml:space="preserve">pupils </w:t>
            </w:r>
          </w:p>
        </w:tc>
        <w:tc>
          <w:tcPr>
            <w:tcW w:w="2617" w:type="dxa"/>
            <w:shd w:val="clear" w:color="auto" w:fill="auto"/>
            <w:tcMar>
              <w:top w:w="113" w:type="dxa"/>
              <w:bottom w:w="113" w:type="dxa"/>
            </w:tcMar>
          </w:tcPr>
          <w:p w14:paraId="03CC2A05" w14:textId="77777777" w:rsidR="00CF046D" w:rsidRPr="00F94E61" w:rsidRDefault="008F0C4B" w:rsidP="00570352">
            <w:pPr>
              <w:spacing w:after="120"/>
              <w:rPr>
                <w:rFonts w:ascii="Arial" w:hAnsi="Arial" w:cs="Arial"/>
                <w:sz w:val="20"/>
              </w:rPr>
            </w:pPr>
            <w:r>
              <w:rPr>
                <w:rFonts w:ascii="Arial" w:hAnsi="Arial" w:cs="Arial"/>
                <w:sz w:val="20"/>
              </w:rPr>
              <w:t>Tom Bates</w:t>
            </w:r>
          </w:p>
        </w:tc>
        <w:tc>
          <w:tcPr>
            <w:tcW w:w="2665" w:type="dxa"/>
            <w:shd w:val="clear" w:color="auto" w:fill="auto"/>
            <w:tcMar>
              <w:top w:w="113" w:type="dxa"/>
              <w:bottom w:w="113" w:type="dxa"/>
            </w:tcMar>
          </w:tcPr>
          <w:p w14:paraId="4A74BB36" w14:textId="77777777" w:rsidR="00CF046D" w:rsidRDefault="00B01450" w:rsidP="00570352">
            <w:pPr>
              <w:spacing w:after="120"/>
              <w:rPr>
                <w:rFonts w:ascii="Arial" w:hAnsi="Arial" w:cs="Arial"/>
                <w:sz w:val="20"/>
              </w:rPr>
            </w:pPr>
            <w:r>
              <w:rPr>
                <w:rFonts w:ascii="Arial" w:hAnsi="Arial" w:cs="Arial"/>
                <w:sz w:val="20"/>
              </w:rPr>
              <w:t>Pupils meeting intervention targets.</w:t>
            </w:r>
          </w:p>
          <w:p w14:paraId="7B3EE5B3" w14:textId="77777777" w:rsidR="00B01450" w:rsidRPr="00F94E61" w:rsidRDefault="00B01450" w:rsidP="00570352">
            <w:pPr>
              <w:spacing w:after="120"/>
              <w:rPr>
                <w:rFonts w:ascii="Arial" w:hAnsi="Arial" w:cs="Arial"/>
                <w:sz w:val="20"/>
              </w:rPr>
            </w:pPr>
            <w:r>
              <w:rPr>
                <w:rFonts w:ascii="Arial" w:hAnsi="Arial" w:cs="Arial"/>
                <w:sz w:val="20"/>
              </w:rPr>
              <w:t xml:space="preserve">Reduction in challenging </w:t>
            </w:r>
            <w:proofErr w:type="spellStart"/>
            <w:r>
              <w:rPr>
                <w:rFonts w:ascii="Arial" w:hAnsi="Arial" w:cs="Arial"/>
                <w:sz w:val="20"/>
              </w:rPr>
              <w:t>behaviour’s</w:t>
            </w:r>
            <w:proofErr w:type="spellEnd"/>
            <w:r>
              <w:rPr>
                <w:rFonts w:ascii="Arial" w:hAnsi="Arial" w:cs="Arial"/>
                <w:sz w:val="20"/>
              </w:rPr>
              <w:t xml:space="preserve"> as reported on CPOMS. </w:t>
            </w:r>
          </w:p>
        </w:tc>
      </w:tr>
      <w:tr w:rsidR="0009425A" w:rsidRPr="00F94E61" w14:paraId="4E0DB634" w14:textId="77777777" w:rsidTr="00570352">
        <w:trPr>
          <w:cantSplit/>
        </w:trPr>
        <w:tc>
          <w:tcPr>
            <w:tcW w:w="2537" w:type="dxa"/>
            <w:shd w:val="clear" w:color="auto" w:fill="auto"/>
            <w:tcMar>
              <w:top w:w="113" w:type="dxa"/>
              <w:bottom w:w="113" w:type="dxa"/>
            </w:tcMar>
          </w:tcPr>
          <w:p w14:paraId="6D751E15" w14:textId="77777777" w:rsidR="0009425A" w:rsidRDefault="0009425A" w:rsidP="00570352">
            <w:pPr>
              <w:spacing w:after="120"/>
              <w:rPr>
                <w:rFonts w:ascii="Arial" w:hAnsi="Arial" w:cs="Arial"/>
                <w:sz w:val="20"/>
              </w:rPr>
            </w:pPr>
            <w:r>
              <w:rPr>
                <w:rFonts w:ascii="Arial" w:hAnsi="Arial" w:cs="Arial"/>
                <w:sz w:val="20"/>
              </w:rPr>
              <w:t>Sensory resources and communication aids</w:t>
            </w:r>
          </w:p>
        </w:tc>
        <w:tc>
          <w:tcPr>
            <w:tcW w:w="2396" w:type="dxa"/>
          </w:tcPr>
          <w:p w14:paraId="410FF414" w14:textId="77777777" w:rsidR="0009425A" w:rsidRDefault="00915BFE" w:rsidP="00570352">
            <w:pPr>
              <w:spacing w:after="120"/>
              <w:rPr>
                <w:rFonts w:ascii="Arial" w:hAnsi="Arial" w:cs="Arial"/>
                <w:sz w:val="20"/>
              </w:rPr>
            </w:pPr>
            <w:r>
              <w:rPr>
                <w:rFonts w:ascii="Arial" w:hAnsi="Arial" w:cs="Arial"/>
                <w:sz w:val="20"/>
              </w:rPr>
              <w:t>SEND areas of need</w:t>
            </w:r>
          </w:p>
          <w:p w14:paraId="1C138533" w14:textId="77777777" w:rsidR="00915BFE" w:rsidRDefault="00915BFE" w:rsidP="00570352">
            <w:pPr>
              <w:spacing w:after="120"/>
              <w:rPr>
                <w:rFonts w:ascii="Arial" w:hAnsi="Arial" w:cs="Arial"/>
                <w:sz w:val="20"/>
              </w:rPr>
            </w:pPr>
            <w:r>
              <w:rPr>
                <w:rFonts w:ascii="Arial" w:hAnsi="Arial" w:cs="Arial"/>
                <w:sz w:val="20"/>
              </w:rPr>
              <w:t>Maslow’s Hierarchy of need</w:t>
            </w:r>
          </w:p>
          <w:p w14:paraId="33E9B884" w14:textId="77777777" w:rsidR="00915BFE" w:rsidRPr="00F94E61" w:rsidRDefault="00915BFE" w:rsidP="00570352">
            <w:pPr>
              <w:spacing w:after="120"/>
              <w:rPr>
                <w:rFonts w:ascii="Arial" w:hAnsi="Arial" w:cs="Arial"/>
                <w:sz w:val="20"/>
              </w:rPr>
            </w:pPr>
            <w:r>
              <w:rPr>
                <w:rFonts w:ascii="Arial" w:hAnsi="Arial" w:cs="Arial"/>
                <w:sz w:val="20"/>
              </w:rPr>
              <w:t>Barry Carpenter</w:t>
            </w:r>
            <w:r w:rsidR="007B2287">
              <w:rPr>
                <w:rFonts w:ascii="Arial" w:hAnsi="Arial" w:cs="Arial"/>
                <w:sz w:val="20"/>
              </w:rPr>
              <w:t xml:space="preserve">, </w:t>
            </w:r>
            <w:r w:rsidR="007B2287" w:rsidRPr="007B2287">
              <w:rPr>
                <w:rFonts w:ascii="Arial" w:hAnsi="Arial" w:cs="Arial"/>
                <w:sz w:val="20"/>
              </w:rPr>
              <w:t>Engaging Learners with Complex Learning Difficulties and Disabilities</w:t>
            </w:r>
          </w:p>
        </w:tc>
        <w:tc>
          <w:tcPr>
            <w:tcW w:w="2559" w:type="dxa"/>
            <w:shd w:val="clear" w:color="auto" w:fill="auto"/>
            <w:tcMar>
              <w:top w:w="113" w:type="dxa"/>
              <w:bottom w:w="113" w:type="dxa"/>
            </w:tcMar>
          </w:tcPr>
          <w:p w14:paraId="28586244" w14:textId="77777777" w:rsidR="0009425A" w:rsidRPr="00F94E61" w:rsidRDefault="0083680F" w:rsidP="00570352">
            <w:pPr>
              <w:spacing w:after="120"/>
              <w:rPr>
                <w:rFonts w:ascii="Arial" w:hAnsi="Arial" w:cs="Arial"/>
                <w:sz w:val="20"/>
              </w:rPr>
            </w:pPr>
            <w:r>
              <w:rPr>
                <w:rFonts w:ascii="Arial" w:hAnsi="Arial" w:cs="Arial"/>
                <w:sz w:val="20"/>
              </w:rPr>
              <w:t>4</w:t>
            </w:r>
            <w:r w:rsidR="00515DF2">
              <w:rPr>
                <w:rFonts w:ascii="Arial" w:hAnsi="Arial" w:cs="Arial"/>
                <w:sz w:val="20"/>
              </w:rPr>
              <w:t>000</w:t>
            </w:r>
          </w:p>
        </w:tc>
        <w:tc>
          <w:tcPr>
            <w:tcW w:w="2614" w:type="dxa"/>
            <w:shd w:val="clear" w:color="auto" w:fill="auto"/>
            <w:tcMar>
              <w:top w:w="113" w:type="dxa"/>
              <w:bottom w:w="113" w:type="dxa"/>
            </w:tcMar>
          </w:tcPr>
          <w:p w14:paraId="61BE9B06" w14:textId="77777777" w:rsidR="0009425A" w:rsidRDefault="0003667F" w:rsidP="00570352">
            <w:pPr>
              <w:spacing w:after="120"/>
              <w:rPr>
                <w:rFonts w:ascii="Arial" w:hAnsi="Arial" w:cs="Arial"/>
                <w:sz w:val="20"/>
              </w:rPr>
            </w:pPr>
            <w:r>
              <w:rPr>
                <w:rFonts w:ascii="Arial" w:hAnsi="Arial" w:cs="Arial"/>
                <w:sz w:val="20"/>
              </w:rPr>
              <w:t>Universal: access to total communication environment</w:t>
            </w:r>
          </w:p>
          <w:p w14:paraId="684E2A97" w14:textId="77777777" w:rsidR="0003667F" w:rsidRDefault="0003667F" w:rsidP="00570352">
            <w:pPr>
              <w:spacing w:after="120"/>
              <w:rPr>
                <w:rFonts w:ascii="Arial" w:hAnsi="Arial" w:cs="Arial"/>
                <w:sz w:val="20"/>
              </w:rPr>
            </w:pPr>
            <w:r>
              <w:rPr>
                <w:rFonts w:ascii="Arial" w:hAnsi="Arial" w:cs="Arial"/>
                <w:sz w:val="20"/>
              </w:rPr>
              <w:t>Targeted: specific communication resources</w:t>
            </w:r>
          </w:p>
          <w:p w14:paraId="19C4D4E6" w14:textId="77777777" w:rsidR="0003667F" w:rsidRPr="00F94E61" w:rsidRDefault="0003667F" w:rsidP="00570352">
            <w:pPr>
              <w:spacing w:after="120"/>
              <w:rPr>
                <w:rFonts w:ascii="Arial" w:hAnsi="Arial" w:cs="Arial"/>
                <w:sz w:val="20"/>
              </w:rPr>
            </w:pPr>
            <w:r>
              <w:rPr>
                <w:rFonts w:ascii="Arial" w:hAnsi="Arial" w:cs="Arial"/>
                <w:sz w:val="20"/>
              </w:rPr>
              <w:t>Sensory resources for targeted CDMT and sensory interventions, as well as sensory resources to support self-regulation and access within the learning environment</w:t>
            </w:r>
          </w:p>
        </w:tc>
        <w:tc>
          <w:tcPr>
            <w:tcW w:w="2617" w:type="dxa"/>
            <w:shd w:val="clear" w:color="auto" w:fill="auto"/>
            <w:tcMar>
              <w:top w:w="113" w:type="dxa"/>
              <w:bottom w:w="113" w:type="dxa"/>
            </w:tcMar>
          </w:tcPr>
          <w:p w14:paraId="2F284091" w14:textId="77777777" w:rsidR="0009425A" w:rsidRPr="00F94E61" w:rsidRDefault="008F0C4B" w:rsidP="00570352">
            <w:pPr>
              <w:spacing w:after="120"/>
              <w:rPr>
                <w:rFonts w:ascii="Arial" w:hAnsi="Arial" w:cs="Arial"/>
                <w:sz w:val="20"/>
              </w:rPr>
            </w:pPr>
            <w:r>
              <w:rPr>
                <w:rFonts w:ascii="Arial" w:hAnsi="Arial" w:cs="Arial"/>
                <w:sz w:val="20"/>
              </w:rPr>
              <w:t>Kate Preece</w:t>
            </w:r>
          </w:p>
        </w:tc>
        <w:tc>
          <w:tcPr>
            <w:tcW w:w="2665" w:type="dxa"/>
            <w:shd w:val="clear" w:color="auto" w:fill="auto"/>
            <w:tcMar>
              <w:top w:w="113" w:type="dxa"/>
              <w:bottom w:w="113" w:type="dxa"/>
            </w:tcMar>
          </w:tcPr>
          <w:p w14:paraId="3641B951" w14:textId="77777777" w:rsidR="0009425A" w:rsidRDefault="00E07570" w:rsidP="00570352">
            <w:pPr>
              <w:spacing w:after="120"/>
              <w:rPr>
                <w:rFonts w:ascii="Arial" w:hAnsi="Arial" w:cs="Arial"/>
                <w:sz w:val="20"/>
              </w:rPr>
            </w:pPr>
            <w:r>
              <w:rPr>
                <w:rFonts w:ascii="Arial" w:hAnsi="Arial" w:cs="Arial"/>
                <w:sz w:val="20"/>
              </w:rPr>
              <w:t>All students have a means, reason and opportunity to communicate</w:t>
            </w:r>
          </w:p>
          <w:p w14:paraId="126F2C93" w14:textId="77777777" w:rsidR="00E60115" w:rsidRPr="00F94E61" w:rsidRDefault="00E60115" w:rsidP="00570352">
            <w:pPr>
              <w:spacing w:after="120"/>
              <w:rPr>
                <w:rFonts w:ascii="Arial" w:hAnsi="Arial" w:cs="Arial"/>
                <w:sz w:val="20"/>
              </w:rPr>
            </w:pPr>
            <w:r>
              <w:rPr>
                <w:rFonts w:ascii="Arial" w:hAnsi="Arial" w:cs="Arial"/>
                <w:sz w:val="20"/>
              </w:rPr>
              <w:t xml:space="preserve">Reduction in communication through </w:t>
            </w:r>
            <w:proofErr w:type="spellStart"/>
            <w:r>
              <w:rPr>
                <w:rFonts w:ascii="Arial" w:hAnsi="Arial" w:cs="Arial"/>
                <w:sz w:val="20"/>
              </w:rPr>
              <w:t>behaviour</w:t>
            </w:r>
            <w:proofErr w:type="spellEnd"/>
          </w:p>
        </w:tc>
      </w:tr>
    </w:tbl>
    <w:p w14:paraId="7F13C892" w14:textId="77777777" w:rsidR="00CF046D" w:rsidRDefault="00CF046D" w:rsidP="00F94E61">
      <w:pPr>
        <w:spacing w:after="120"/>
        <w:rPr>
          <w:rFonts w:ascii="Arial" w:hAnsi="Arial" w:cs="Arial"/>
          <w:sz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37"/>
        <w:gridCol w:w="2396"/>
        <w:gridCol w:w="2559"/>
        <w:gridCol w:w="2614"/>
        <w:gridCol w:w="2617"/>
        <w:gridCol w:w="2665"/>
      </w:tblGrid>
      <w:tr w:rsidR="00CF046D" w:rsidRPr="00F94E61" w14:paraId="07139112" w14:textId="77777777" w:rsidTr="00570352">
        <w:trPr>
          <w:cantSplit/>
          <w:tblHeader/>
        </w:trPr>
        <w:tc>
          <w:tcPr>
            <w:tcW w:w="15388" w:type="dxa"/>
            <w:gridSpan w:val="6"/>
            <w:tcBorders>
              <w:top w:val="single" w:sz="4" w:space="0" w:color="12263F"/>
              <w:left w:val="single" w:sz="4" w:space="0" w:color="12263F"/>
              <w:bottom w:val="single" w:sz="4" w:space="0" w:color="12263F"/>
              <w:right w:val="single" w:sz="4" w:space="0" w:color="12263F"/>
              <w:tl2br w:val="nil"/>
              <w:tr2bl w:val="nil"/>
            </w:tcBorders>
            <w:shd w:val="clear" w:color="auto" w:fill="BDBDFF"/>
          </w:tcPr>
          <w:p w14:paraId="35028785" w14:textId="77777777" w:rsidR="001E799C" w:rsidRDefault="001E799C" w:rsidP="00570352">
            <w:pPr>
              <w:spacing w:after="120"/>
              <w:rPr>
                <w:rFonts w:asciiTheme="minorHAnsi" w:hAnsiTheme="minorHAnsi" w:cstheme="minorHAnsi"/>
                <w:caps/>
              </w:rPr>
            </w:pPr>
            <w:r>
              <w:rPr>
                <w:rFonts w:asciiTheme="minorHAnsi" w:hAnsiTheme="minorHAnsi" w:cstheme="minorHAnsi"/>
                <w:caps/>
              </w:rPr>
              <w:t>wider strategies:</w:t>
            </w:r>
            <w:r w:rsidR="001148D0">
              <w:rPr>
                <w:rFonts w:asciiTheme="minorHAnsi" w:hAnsiTheme="minorHAnsi" w:cstheme="minorHAnsi"/>
                <w:caps/>
              </w:rPr>
              <w:t xml:space="preserve"> </w:t>
            </w:r>
            <w:r w:rsidR="00E16608">
              <w:rPr>
                <w:rFonts w:asciiTheme="minorHAnsi" w:hAnsiTheme="minorHAnsi" w:cstheme="minorHAnsi"/>
                <w:caps/>
              </w:rPr>
              <w:t>NON-ACADEMIC</w:t>
            </w:r>
            <w:r w:rsidR="001148D0">
              <w:rPr>
                <w:rFonts w:asciiTheme="minorHAnsi" w:hAnsiTheme="minorHAnsi" w:cstheme="minorHAnsi"/>
                <w:caps/>
              </w:rPr>
              <w:t xml:space="preserve"> challenges including attendance, behaviour, SEMH support</w:t>
            </w:r>
          </w:p>
          <w:p w14:paraId="3D15C42C" w14:textId="77777777" w:rsidR="00CF046D" w:rsidRPr="00F94E61" w:rsidRDefault="00CF046D" w:rsidP="00570352">
            <w:pPr>
              <w:spacing w:after="120"/>
              <w:rPr>
                <w:rFonts w:asciiTheme="minorHAnsi" w:hAnsiTheme="minorHAnsi" w:cstheme="minorHAnsi"/>
                <w:caps/>
                <w:color w:val="F8F8F8"/>
              </w:rPr>
            </w:pPr>
            <w:r w:rsidRPr="00F94E61">
              <w:rPr>
                <w:rFonts w:asciiTheme="minorHAnsi" w:hAnsiTheme="minorHAnsi" w:cstheme="minorHAnsi"/>
                <w:caps/>
              </w:rPr>
              <w:t>Objective 1</w:t>
            </w:r>
          </w:p>
        </w:tc>
      </w:tr>
      <w:tr w:rsidR="00CF046D" w:rsidRPr="00F94E61" w14:paraId="7E8F1937" w14:textId="77777777" w:rsidTr="00570352">
        <w:trPr>
          <w:cantSplit/>
        </w:trPr>
        <w:tc>
          <w:tcPr>
            <w:tcW w:w="2537" w:type="dxa"/>
            <w:shd w:val="clear" w:color="auto" w:fill="auto"/>
            <w:tcMar>
              <w:top w:w="113" w:type="dxa"/>
              <w:bottom w:w="113" w:type="dxa"/>
            </w:tcMar>
          </w:tcPr>
          <w:p w14:paraId="14B12527" w14:textId="77777777" w:rsidR="00CF046D" w:rsidRPr="00F94E61" w:rsidRDefault="00CF046D" w:rsidP="00570352">
            <w:pPr>
              <w:spacing w:after="120"/>
              <w:jc w:val="center"/>
              <w:rPr>
                <w:rFonts w:ascii="Arial" w:hAnsi="Arial" w:cs="Arial"/>
                <w:sz w:val="20"/>
              </w:rPr>
            </w:pPr>
            <w:r w:rsidRPr="00F94E61">
              <w:rPr>
                <w:rFonts w:ascii="Arial" w:hAnsi="Arial" w:cs="Arial"/>
                <w:sz w:val="20"/>
              </w:rPr>
              <w:t>Actions</w:t>
            </w:r>
          </w:p>
        </w:tc>
        <w:tc>
          <w:tcPr>
            <w:tcW w:w="2396" w:type="dxa"/>
          </w:tcPr>
          <w:p w14:paraId="6AEAF2D3" w14:textId="77777777" w:rsidR="00CF046D" w:rsidRPr="00F94E61" w:rsidRDefault="00CF046D" w:rsidP="00570352">
            <w:pPr>
              <w:spacing w:after="120"/>
              <w:jc w:val="center"/>
              <w:rPr>
                <w:rFonts w:ascii="Arial" w:hAnsi="Arial" w:cs="Arial"/>
                <w:sz w:val="20"/>
              </w:rPr>
            </w:pPr>
            <w:r>
              <w:rPr>
                <w:rFonts w:ascii="Arial" w:hAnsi="Arial" w:cs="Arial"/>
                <w:sz w:val="20"/>
              </w:rPr>
              <w:t>Evidence that supports this approach</w:t>
            </w:r>
          </w:p>
        </w:tc>
        <w:tc>
          <w:tcPr>
            <w:tcW w:w="2559" w:type="dxa"/>
            <w:shd w:val="clear" w:color="auto" w:fill="auto"/>
            <w:tcMar>
              <w:top w:w="113" w:type="dxa"/>
              <w:bottom w:w="113" w:type="dxa"/>
            </w:tcMar>
          </w:tcPr>
          <w:p w14:paraId="5272888E" w14:textId="77777777" w:rsidR="00CF046D" w:rsidRPr="00F94E61" w:rsidRDefault="00CF046D" w:rsidP="00570352">
            <w:pPr>
              <w:spacing w:after="120"/>
              <w:jc w:val="center"/>
              <w:rPr>
                <w:rFonts w:ascii="Arial" w:hAnsi="Arial" w:cs="Arial"/>
                <w:sz w:val="20"/>
              </w:rPr>
            </w:pPr>
            <w:r w:rsidRPr="00F94E61">
              <w:rPr>
                <w:rFonts w:ascii="Arial" w:hAnsi="Arial" w:cs="Arial"/>
                <w:sz w:val="20"/>
              </w:rPr>
              <w:t>Cost/resource implications</w:t>
            </w:r>
          </w:p>
        </w:tc>
        <w:tc>
          <w:tcPr>
            <w:tcW w:w="2614" w:type="dxa"/>
            <w:shd w:val="clear" w:color="auto" w:fill="auto"/>
            <w:tcMar>
              <w:top w:w="113" w:type="dxa"/>
              <w:bottom w:w="113" w:type="dxa"/>
            </w:tcMar>
          </w:tcPr>
          <w:p w14:paraId="0EED8BD3" w14:textId="77777777" w:rsidR="00CF046D" w:rsidRPr="00F94E61" w:rsidRDefault="00CF046D" w:rsidP="00570352">
            <w:pPr>
              <w:spacing w:after="120"/>
              <w:jc w:val="center"/>
              <w:rPr>
                <w:rFonts w:ascii="Arial" w:hAnsi="Arial" w:cs="Arial"/>
                <w:sz w:val="20"/>
              </w:rPr>
            </w:pPr>
            <w:r w:rsidRPr="00F94E61">
              <w:rPr>
                <w:rFonts w:ascii="Arial" w:hAnsi="Arial" w:cs="Arial"/>
                <w:sz w:val="20"/>
              </w:rPr>
              <w:t>T</w:t>
            </w:r>
            <w:r>
              <w:rPr>
                <w:rFonts w:ascii="Arial" w:hAnsi="Arial" w:cs="Arial"/>
                <w:sz w:val="20"/>
              </w:rPr>
              <w:t>argeted groups</w:t>
            </w:r>
          </w:p>
        </w:tc>
        <w:tc>
          <w:tcPr>
            <w:tcW w:w="2617" w:type="dxa"/>
            <w:shd w:val="clear" w:color="auto" w:fill="auto"/>
            <w:tcMar>
              <w:top w:w="113" w:type="dxa"/>
              <w:bottom w:w="113" w:type="dxa"/>
            </w:tcMar>
          </w:tcPr>
          <w:p w14:paraId="4A19E821" w14:textId="77777777" w:rsidR="00CF046D" w:rsidRPr="00F94E61" w:rsidRDefault="00CF046D" w:rsidP="00570352">
            <w:pPr>
              <w:spacing w:after="120"/>
              <w:jc w:val="center"/>
              <w:rPr>
                <w:rFonts w:ascii="Arial" w:hAnsi="Arial" w:cs="Arial"/>
                <w:sz w:val="20"/>
              </w:rPr>
            </w:pPr>
            <w:r w:rsidRPr="00F94E61">
              <w:rPr>
                <w:rFonts w:ascii="Arial" w:hAnsi="Arial" w:cs="Arial"/>
                <w:sz w:val="20"/>
              </w:rPr>
              <w:t>Person responsible</w:t>
            </w:r>
          </w:p>
        </w:tc>
        <w:tc>
          <w:tcPr>
            <w:tcW w:w="2665" w:type="dxa"/>
            <w:shd w:val="clear" w:color="auto" w:fill="auto"/>
            <w:tcMar>
              <w:top w:w="113" w:type="dxa"/>
              <w:bottom w:w="113" w:type="dxa"/>
            </w:tcMar>
          </w:tcPr>
          <w:p w14:paraId="5EEB28F5" w14:textId="77777777" w:rsidR="00CF046D" w:rsidRPr="00F94E61" w:rsidRDefault="00CF046D" w:rsidP="00570352">
            <w:pPr>
              <w:spacing w:after="120"/>
              <w:jc w:val="center"/>
              <w:rPr>
                <w:rFonts w:ascii="Arial" w:hAnsi="Arial" w:cs="Arial"/>
                <w:sz w:val="20"/>
              </w:rPr>
            </w:pPr>
            <w:r w:rsidRPr="00F94E61">
              <w:rPr>
                <w:rFonts w:ascii="Arial" w:hAnsi="Arial" w:cs="Arial"/>
                <w:sz w:val="20"/>
              </w:rPr>
              <w:t>Success criteria</w:t>
            </w:r>
            <w:r>
              <w:rPr>
                <w:rFonts w:ascii="Arial" w:hAnsi="Arial" w:cs="Arial"/>
                <w:sz w:val="20"/>
              </w:rPr>
              <w:t>/ Impact</w:t>
            </w:r>
          </w:p>
        </w:tc>
      </w:tr>
      <w:tr w:rsidR="00CF046D" w:rsidRPr="00F94E61" w14:paraId="02FCE16A" w14:textId="77777777" w:rsidTr="00570352">
        <w:trPr>
          <w:cantSplit/>
        </w:trPr>
        <w:tc>
          <w:tcPr>
            <w:tcW w:w="2537" w:type="dxa"/>
            <w:shd w:val="clear" w:color="auto" w:fill="auto"/>
            <w:tcMar>
              <w:top w:w="113" w:type="dxa"/>
              <w:bottom w:w="113" w:type="dxa"/>
            </w:tcMar>
          </w:tcPr>
          <w:p w14:paraId="52C7477E" w14:textId="77777777" w:rsidR="00CF046D" w:rsidRPr="00F94E61" w:rsidRDefault="0009425A" w:rsidP="00570352">
            <w:pPr>
              <w:spacing w:after="120"/>
              <w:rPr>
                <w:rFonts w:ascii="Arial" w:hAnsi="Arial" w:cs="Arial"/>
                <w:sz w:val="20"/>
              </w:rPr>
            </w:pPr>
            <w:r>
              <w:rPr>
                <w:rFonts w:ascii="Arial" w:hAnsi="Arial" w:cs="Arial"/>
                <w:sz w:val="20"/>
              </w:rPr>
              <w:lastRenderedPageBreak/>
              <w:t>CDMT Lead Teacher</w:t>
            </w:r>
            <w:r w:rsidR="00006C83">
              <w:rPr>
                <w:rFonts w:ascii="Arial" w:hAnsi="Arial" w:cs="Arial"/>
                <w:sz w:val="20"/>
              </w:rPr>
              <w:t xml:space="preserve"> </w:t>
            </w:r>
            <w:r w:rsidR="00317A88">
              <w:rPr>
                <w:rFonts w:ascii="Arial" w:hAnsi="Arial" w:cs="Arial"/>
                <w:sz w:val="20"/>
              </w:rPr>
              <w:t xml:space="preserve">time to triage </w:t>
            </w:r>
            <w:proofErr w:type="spellStart"/>
            <w:r w:rsidR="00317A88">
              <w:rPr>
                <w:rFonts w:ascii="Arial" w:hAnsi="Arial" w:cs="Arial"/>
                <w:sz w:val="20"/>
              </w:rPr>
              <w:t>behavio</w:t>
            </w:r>
            <w:r w:rsidR="008A0075">
              <w:rPr>
                <w:rFonts w:ascii="Arial" w:hAnsi="Arial" w:cs="Arial"/>
                <w:sz w:val="20"/>
              </w:rPr>
              <w:t>u</w:t>
            </w:r>
            <w:r w:rsidR="00317A88">
              <w:rPr>
                <w:rFonts w:ascii="Arial" w:hAnsi="Arial" w:cs="Arial"/>
                <w:sz w:val="20"/>
              </w:rPr>
              <w:t>r</w:t>
            </w:r>
            <w:proofErr w:type="spellEnd"/>
            <w:r w:rsidR="00317A88">
              <w:rPr>
                <w:rFonts w:ascii="Arial" w:hAnsi="Arial" w:cs="Arial"/>
                <w:sz w:val="20"/>
              </w:rPr>
              <w:t xml:space="preserve"> incidents, direct interventions/plans and support teams, CPD and coaching</w:t>
            </w:r>
          </w:p>
        </w:tc>
        <w:tc>
          <w:tcPr>
            <w:tcW w:w="2396" w:type="dxa"/>
          </w:tcPr>
          <w:p w14:paraId="420E97FF" w14:textId="77777777" w:rsidR="00CF046D" w:rsidRDefault="004452C2" w:rsidP="00570352">
            <w:pPr>
              <w:spacing w:after="120"/>
              <w:rPr>
                <w:rFonts w:ascii="Arial" w:hAnsi="Arial" w:cs="Arial"/>
                <w:sz w:val="20"/>
              </w:rPr>
            </w:pPr>
            <w:r>
              <w:rPr>
                <w:rFonts w:ascii="Arial" w:hAnsi="Arial" w:cs="Arial"/>
                <w:sz w:val="20"/>
              </w:rPr>
              <w:t>EEF Teaching and Learning Toolkit</w:t>
            </w:r>
          </w:p>
          <w:p w14:paraId="44E9E8B4" w14:textId="77777777" w:rsidR="00477AC7" w:rsidRPr="00F94E61" w:rsidRDefault="00477AC7" w:rsidP="00570352">
            <w:pPr>
              <w:spacing w:after="120"/>
              <w:rPr>
                <w:rFonts w:ascii="Arial" w:hAnsi="Arial" w:cs="Arial"/>
                <w:sz w:val="20"/>
              </w:rPr>
            </w:pPr>
            <w:r>
              <w:rPr>
                <w:rFonts w:ascii="Arial" w:hAnsi="Arial" w:cs="Arial"/>
                <w:sz w:val="20"/>
              </w:rPr>
              <w:t xml:space="preserve">EEF Improving </w:t>
            </w:r>
            <w:proofErr w:type="spellStart"/>
            <w:r>
              <w:rPr>
                <w:rFonts w:ascii="Arial" w:hAnsi="Arial" w:cs="Arial"/>
                <w:sz w:val="20"/>
              </w:rPr>
              <w:t>Behaviour</w:t>
            </w:r>
            <w:proofErr w:type="spellEnd"/>
            <w:r>
              <w:rPr>
                <w:rFonts w:ascii="Arial" w:hAnsi="Arial" w:cs="Arial"/>
                <w:sz w:val="20"/>
              </w:rPr>
              <w:t xml:space="preserve"> in Schools</w:t>
            </w:r>
          </w:p>
        </w:tc>
        <w:tc>
          <w:tcPr>
            <w:tcW w:w="2559" w:type="dxa"/>
            <w:shd w:val="clear" w:color="auto" w:fill="auto"/>
            <w:tcMar>
              <w:top w:w="113" w:type="dxa"/>
              <w:bottom w:w="113" w:type="dxa"/>
            </w:tcMar>
          </w:tcPr>
          <w:p w14:paraId="5C911DC7" w14:textId="77777777" w:rsidR="00CF046D" w:rsidRPr="00F94E61" w:rsidRDefault="00515DF2" w:rsidP="00570352">
            <w:pPr>
              <w:spacing w:after="120"/>
              <w:rPr>
                <w:rFonts w:ascii="Arial" w:hAnsi="Arial" w:cs="Arial"/>
                <w:sz w:val="20"/>
              </w:rPr>
            </w:pPr>
            <w:r>
              <w:rPr>
                <w:rFonts w:ascii="Arial" w:hAnsi="Arial" w:cs="Arial"/>
                <w:sz w:val="20"/>
              </w:rPr>
              <w:t>14000</w:t>
            </w:r>
          </w:p>
        </w:tc>
        <w:tc>
          <w:tcPr>
            <w:tcW w:w="2614" w:type="dxa"/>
            <w:shd w:val="clear" w:color="auto" w:fill="auto"/>
            <w:tcMar>
              <w:top w:w="113" w:type="dxa"/>
              <w:bottom w:w="113" w:type="dxa"/>
            </w:tcMar>
          </w:tcPr>
          <w:p w14:paraId="463033B5" w14:textId="77777777" w:rsidR="00CF046D" w:rsidRPr="00F94E61" w:rsidRDefault="00CF046D" w:rsidP="00570352">
            <w:pPr>
              <w:spacing w:after="120"/>
              <w:rPr>
                <w:rFonts w:ascii="Arial" w:hAnsi="Arial" w:cs="Arial"/>
                <w:sz w:val="20"/>
              </w:rPr>
            </w:pPr>
          </w:p>
        </w:tc>
        <w:tc>
          <w:tcPr>
            <w:tcW w:w="2617" w:type="dxa"/>
            <w:shd w:val="clear" w:color="auto" w:fill="auto"/>
            <w:tcMar>
              <w:top w:w="113" w:type="dxa"/>
              <w:bottom w:w="113" w:type="dxa"/>
            </w:tcMar>
          </w:tcPr>
          <w:p w14:paraId="423C8D7B" w14:textId="77777777" w:rsidR="00CF046D" w:rsidRPr="00F94E61" w:rsidRDefault="0068393B" w:rsidP="00570352">
            <w:pPr>
              <w:spacing w:after="120"/>
              <w:rPr>
                <w:rFonts w:ascii="Arial" w:hAnsi="Arial" w:cs="Arial"/>
                <w:sz w:val="20"/>
              </w:rPr>
            </w:pPr>
            <w:r>
              <w:rPr>
                <w:rFonts w:ascii="Arial" w:hAnsi="Arial" w:cs="Arial"/>
                <w:sz w:val="20"/>
              </w:rPr>
              <w:t>Kevin Riley</w:t>
            </w:r>
          </w:p>
        </w:tc>
        <w:tc>
          <w:tcPr>
            <w:tcW w:w="2665" w:type="dxa"/>
            <w:shd w:val="clear" w:color="auto" w:fill="auto"/>
            <w:tcMar>
              <w:top w:w="113" w:type="dxa"/>
              <w:bottom w:w="113" w:type="dxa"/>
            </w:tcMar>
          </w:tcPr>
          <w:p w14:paraId="280C82A6" w14:textId="77777777" w:rsidR="00CF046D" w:rsidRPr="00F94E61" w:rsidRDefault="00CF046D" w:rsidP="00570352">
            <w:pPr>
              <w:spacing w:after="120"/>
              <w:rPr>
                <w:rFonts w:ascii="Arial" w:hAnsi="Arial" w:cs="Arial"/>
                <w:sz w:val="20"/>
              </w:rPr>
            </w:pPr>
          </w:p>
        </w:tc>
      </w:tr>
      <w:tr w:rsidR="00CF046D" w:rsidRPr="00F94E61" w14:paraId="0F2CC468" w14:textId="77777777" w:rsidTr="00570352">
        <w:trPr>
          <w:cantSplit/>
        </w:trPr>
        <w:tc>
          <w:tcPr>
            <w:tcW w:w="2537" w:type="dxa"/>
            <w:shd w:val="clear" w:color="auto" w:fill="auto"/>
            <w:tcMar>
              <w:top w:w="113" w:type="dxa"/>
              <w:bottom w:w="113" w:type="dxa"/>
            </w:tcMar>
          </w:tcPr>
          <w:p w14:paraId="3A606172" w14:textId="77777777" w:rsidR="00CF046D" w:rsidRPr="00F94E61" w:rsidRDefault="0009425A" w:rsidP="00570352">
            <w:pPr>
              <w:spacing w:after="120"/>
              <w:rPr>
                <w:rFonts w:ascii="Arial" w:hAnsi="Arial" w:cs="Arial"/>
                <w:sz w:val="20"/>
              </w:rPr>
            </w:pPr>
            <w:r>
              <w:rPr>
                <w:rFonts w:ascii="Arial" w:hAnsi="Arial" w:cs="Arial"/>
                <w:sz w:val="20"/>
              </w:rPr>
              <w:t>Advocacy Lead</w:t>
            </w:r>
            <w:r w:rsidR="00317A88">
              <w:rPr>
                <w:rFonts w:ascii="Arial" w:hAnsi="Arial" w:cs="Arial"/>
                <w:sz w:val="20"/>
              </w:rPr>
              <w:t xml:space="preserve"> </w:t>
            </w:r>
            <w:r w:rsidR="00C70A44">
              <w:rPr>
                <w:rFonts w:ascii="Arial" w:hAnsi="Arial" w:cs="Arial"/>
                <w:sz w:val="20"/>
              </w:rPr>
              <w:t xml:space="preserve">time </w:t>
            </w:r>
            <w:r w:rsidR="00317A88">
              <w:rPr>
                <w:rFonts w:ascii="Arial" w:hAnsi="Arial" w:cs="Arial"/>
                <w:sz w:val="20"/>
              </w:rPr>
              <w:t>to ensure</w:t>
            </w:r>
            <w:r w:rsidR="00C70A44" w:rsidRPr="00C70A44">
              <w:t xml:space="preserve"> </w:t>
            </w:r>
            <w:r w:rsidR="00C70A44">
              <w:rPr>
                <w:rFonts w:ascii="Arial" w:hAnsi="Arial" w:cs="Arial"/>
                <w:sz w:val="20"/>
              </w:rPr>
              <w:t>pupils</w:t>
            </w:r>
            <w:r w:rsidR="00C70A44" w:rsidRPr="00C70A44">
              <w:rPr>
                <w:rFonts w:ascii="Arial" w:hAnsi="Arial" w:cs="Arial"/>
                <w:sz w:val="20"/>
              </w:rPr>
              <w:t xml:space="preserve"> have a voice in decisions which affect them </w:t>
            </w:r>
            <w:r w:rsidR="00C70A44">
              <w:rPr>
                <w:rFonts w:ascii="Arial" w:hAnsi="Arial" w:cs="Arial"/>
                <w:sz w:val="20"/>
              </w:rPr>
              <w:t>via staff CPD and targeted interventions</w:t>
            </w:r>
          </w:p>
        </w:tc>
        <w:tc>
          <w:tcPr>
            <w:tcW w:w="2396" w:type="dxa"/>
          </w:tcPr>
          <w:p w14:paraId="1E872643" w14:textId="77777777" w:rsidR="00CF046D" w:rsidRPr="00F94E61" w:rsidRDefault="004452C2" w:rsidP="00570352">
            <w:pPr>
              <w:spacing w:after="120"/>
              <w:rPr>
                <w:rFonts w:ascii="Arial" w:hAnsi="Arial" w:cs="Arial"/>
                <w:sz w:val="20"/>
              </w:rPr>
            </w:pPr>
            <w:r>
              <w:rPr>
                <w:rFonts w:ascii="Arial" w:hAnsi="Arial" w:cs="Arial"/>
                <w:sz w:val="20"/>
              </w:rPr>
              <w:t>EEF Teaching and Learning Toolkit</w:t>
            </w:r>
          </w:p>
        </w:tc>
        <w:tc>
          <w:tcPr>
            <w:tcW w:w="2559" w:type="dxa"/>
            <w:shd w:val="clear" w:color="auto" w:fill="auto"/>
            <w:tcMar>
              <w:top w:w="113" w:type="dxa"/>
              <w:bottom w:w="113" w:type="dxa"/>
            </w:tcMar>
          </w:tcPr>
          <w:p w14:paraId="41D3ACA2" w14:textId="77777777" w:rsidR="00CF046D" w:rsidRPr="00F94E61" w:rsidRDefault="00515DF2" w:rsidP="00570352">
            <w:pPr>
              <w:spacing w:after="120"/>
              <w:rPr>
                <w:rFonts w:ascii="Arial" w:hAnsi="Arial" w:cs="Arial"/>
                <w:sz w:val="20"/>
              </w:rPr>
            </w:pPr>
            <w:r>
              <w:rPr>
                <w:rFonts w:ascii="Arial" w:hAnsi="Arial" w:cs="Arial"/>
                <w:sz w:val="20"/>
              </w:rPr>
              <w:t>8000</w:t>
            </w:r>
          </w:p>
        </w:tc>
        <w:tc>
          <w:tcPr>
            <w:tcW w:w="2614" w:type="dxa"/>
            <w:shd w:val="clear" w:color="auto" w:fill="auto"/>
            <w:tcMar>
              <w:top w:w="113" w:type="dxa"/>
              <w:bottom w:w="113" w:type="dxa"/>
            </w:tcMar>
          </w:tcPr>
          <w:p w14:paraId="7092A9F3" w14:textId="77777777" w:rsidR="00CF046D" w:rsidRDefault="000C203A" w:rsidP="00570352">
            <w:pPr>
              <w:spacing w:after="120"/>
              <w:rPr>
                <w:rFonts w:ascii="Arial" w:hAnsi="Arial" w:cs="Arial"/>
                <w:sz w:val="20"/>
              </w:rPr>
            </w:pPr>
            <w:r>
              <w:rPr>
                <w:rFonts w:ascii="Arial" w:hAnsi="Arial" w:cs="Arial"/>
                <w:sz w:val="20"/>
              </w:rPr>
              <w:t>Staff CPD</w:t>
            </w:r>
          </w:p>
          <w:p w14:paraId="458ECD15" w14:textId="77777777" w:rsidR="000C203A" w:rsidRPr="00F94E61" w:rsidRDefault="000C203A" w:rsidP="00570352">
            <w:pPr>
              <w:spacing w:after="120"/>
              <w:rPr>
                <w:rFonts w:ascii="Arial" w:hAnsi="Arial" w:cs="Arial"/>
                <w:sz w:val="20"/>
              </w:rPr>
            </w:pPr>
            <w:r>
              <w:rPr>
                <w:rFonts w:ascii="Arial" w:hAnsi="Arial" w:cs="Arial"/>
                <w:sz w:val="20"/>
              </w:rPr>
              <w:t>Disadvantaged students</w:t>
            </w:r>
          </w:p>
        </w:tc>
        <w:tc>
          <w:tcPr>
            <w:tcW w:w="2617" w:type="dxa"/>
            <w:shd w:val="clear" w:color="auto" w:fill="auto"/>
            <w:tcMar>
              <w:top w:w="113" w:type="dxa"/>
              <w:bottom w:w="113" w:type="dxa"/>
            </w:tcMar>
          </w:tcPr>
          <w:p w14:paraId="125E7792" w14:textId="77777777" w:rsidR="00CF046D" w:rsidRPr="00F94E61" w:rsidRDefault="0068393B" w:rsidP="00570352">
            <w:pPr>
              <w:spacing w:after="120"/>
              <w:rPr>
                <w:rFonts w:ascii="Arial" w:hAnsi="Arial" w:cs="Arial"/>
                <w:sz w:val="20"/>
              </w:rPr>
            </w:pPr>
            <w:r>
              <w:rPr>
                <w:rFonts w:ascii="Arial" w:hAnsi="Arial" w:cs="Arial"/>
                <w:sz w:val="20"/>
              </w:rPr>
              <w:t>Dawn Lewis</w:t>
            </w:r>
          </w:p>
        </w:tc>
        <w:tc>
          <w:tcPr>
            <w:tcW w:w="2665" w:type="dxa"/>
            <w:shd w:val="clear" w:color="auto" w:fill="auto"/>
            <w:tcMar>
              <w:top w:w="113" w:type="dxa"/>
              <w:bottom w:w="113" w:type="dxa"/>
            </w:tcMar>
          </w:tcPr>
          <w:p w14:paraId="4D1DE6D1" w14:textId="77777777" w:rsidR="00CF046D" w:rsidRPr="00F94E61" w:rsidRDefault="000C203A" w:rsidP="00570352">
            <w:pPr>
              <w:spacing w:after="120"/>
              <w:rPr>
                <w:rFonts w:ascii="Arial" w:hAnsi="Arial" w:cs="Arial"/>
                <w:sz w:val="20"/>
              </w:rPr>
            </w:pPr>
            <w:r>
              <w:rPr>
                <w:rFonts w:ascii="Arial" w:hAnsi="Arial" w:cs="Arial"/>
                <w:sz w:val="20"/>
              </w:rPr>
              <w:t xml:space="preserve">Pupil voice informs decision making. Disadvantaged pupils have relational support plans or </w:t>
            </w:r>
            <w:r w:rsidR="00511664">
              <w:rPr>
                <w:rFonts w:ascii="Arial" w:hAnsi="Arial" w:cs="Arial"/>
                <w:sz w:val="20"/>
              </w:rPr>
              <w:t>attachment-based</w:t>
            </w:r>
            <w:r>
              <w:rPr>
                <w:rFonts w:ascii="Arial" w:hAnsi="Arial" w:cs="Arial"/>
                <w:sz w:val="20"/>
              </w:rPr>
              <w:t xml:space="preserve"> mentoring where need is identified. Reduction in communicating through </w:t>
            </w:r>
            <w:proofErr w:type="spellStart"/>
            <w:r>
              <w:rPr>
                <w:rFonts w:ascii="Arial" w:hAnsi="Arial" w:cs="Arial"/>
                <w:sz w:val="20"/>
              </w:rPr>
              <w:t>behaviours</w:t>
            </w:r>
            <w:proofErr w:type="spellEnd"/>
            <w:r>
              <w:rPr>
                <w:rFonts w:ascii="Arial" w:hAnsi="Arial" w:cs="Arial"/>
                <w:sz w:val="20"/>
              </w:rPr>
              <w:t xml:space="preserve"> and increased engagement in learning.</w:t>
            </w:r>
          </w:p>
        </w:tc>
      </w:tr>
      <w:tr w:rsidR="00CF046D" w:rsidRPr="00F94E61" w14:paraId="4EA0D1A4" w14:textId="77777777" w:rsidTr="00570352">
        <w:trPr>
          <w:cantSplit/>
        </w:trPr>
        <w:tc>
          <w:tcPr>
            <w:tcW w:w="2537" w:type="dxa"/>
            <w:shd w:val="clear" w:color="auto" w:fill="auto"/>
            <w:tcMar>
              <w:top w:w="113" w:type="dxa"/>
              <w:bottom w:w="113" w:type="dxa"/>
            </w:tcMar>
          </w:tcPr>
          <w:p w14:paraId="43779383" w14:textId="77777777" w:rsidR="00CF046D" w:rsidRPr="00F94E61" w:rsidRDefault="0009425A" w:rsidP="00570352">
            <w:pPr>
              <w:spacing w:after="120"/>
              <w:rPr>
                <w:rFonts w:ascii="Arial" w:hAnsi="Arial" w:cs="Arial"/>
                <w:sz w:val="20"/>
              </w:rPr>
            </w:pPr>
            <w:r>
              <w:rPr>
                <w:rFonts w:ascii="Arial" w:hAnsi="Arial" w:cs="Arial"/>
                <w:sz w:val="20"/>
              </w:rPr>
              <w:t>Outdoor Ed Teacher and HLTA</w:t>
            </w:r>
            <w:r w:rsidR="004A13CF">
              <w:rPr>
                <w:rFonts w:ascii="Arial" w:hAnsi="Arial" w:cs="Arial"/>
                <w:sz w:val="20"/>
              </w:rPr>
              <w:t xml:space="preserve"> time to coordinate and lead a range of outdoor education activities across the academic year</w:t>
            </w:r>
          </w:p>
        </w:tc>
        <w:tc>
          <w:tcPr>
            <w:tcW w:w="2396" w:type="dxa"/>
          </w:tcPr>
          <w:p w14:paraId="5D62D83D" w14:textId="77777777" w:rsidR="00CF046D" w:rsidRPr="00F94E61" w:rsidRDefault="00FF5B5E" w:rsidP="00570352">
            <w:pPr>
              <w:spacing w:after="120"/>
              <w:rPr>
                <w:rFonts w:ascii="Arial" w:hAnsi="Arial" w:cs="Arial"/>
                <w:sz w:val="20"/>
              </w:rPr>
            </w:pPr>
            <w:r>
              <w:rPr>
                <w:rFonts w:ascii="Arial" w:hAnsi="Arial" w:cs="Arial"/>
                <w:sz w:val="20"/>
              </w:rPr>
              <w:t xml:space="preserve">EEF </w:t>
            </w:r>
            <w:r w:rsidR="00C6125D">
              <w:rPr>
                <w:rFonts w:ascii="Arial" w:hAnsi="Arial" w:cs="Arial"/>
                <w:sz w:val="20"/>
              </w:rPr>
              <w:t>Learning Toolkit states there is a wider evidence base to indicate that outdoor learning has positive impacts on self-efficacy, motivation and teamwork, and plays an important role in part of the wider school experience.</w:t>
            </w:r>
          </w:p>
        </w:tc>
        <w:tc>
          <w:tcPr>
            <w:tcW w:w="2559" w:type="dxa"/>
            <w:shd w:val="clear" w:color="auto" w:fill="auto"/>
            <w:tcMar>
              <w:top w:w="113" w:type="dxa"/>
              <w:bottom w:w="113" w:type="dxa"/>
            </w:tcMar>
          </w:tcPr>
          <w:p w14:paraId="340E7939" w14:textId="77777777" w:rsidR="00CF046D" w:rsidRPr="00F94E61" w:rsidRDefault="0083680F" w:rsidP="00570352">
            <w:pPr>
              <w:spacing w:after="120"/>
              <w:rPr>
                <w:rFonts w:ascii="Arial" w:hAnsi="Arial" w:cs="Arial"/>
                <w:sz w:val="20"/>
              </w:rPr>
            </w:pPr>
            <w:r>
              <w:rPr>
                <w:rFonts w:ascii="Arial" w:hAnsi="Arial" w:cs="Arial"/>
                <w:sz w:val="20"/>
              </w:rPr>
              <w:t>11500</w:t>
            </w:r>
          </w:p>
        </w:tc>
        <w:tc>
          <w:tcPr>
            <w:tcW w:w="2614" w:type="dxa"/>
            <w:shd w:val="clear" w:color="auto" w:fill="auto"/>
            <w:tcMar>
              <w:top w:w="113" w:type="dxa"/>
              <w:bottom w:w="113" w:type="dxa"/>
            </w:tcMar>
          </w:tcPr>
          <w:p w14:paraId="2A4D4A1D" w14:textId="77777777" w:rsidR="00CF046D" w:rsidRPr="00F94E61" w:rsidRDefault="004A13CF" w:rsidP="00570352">
            <w:pPr>
              <w:spacing w:after="120"/>
              <w:rPr>
                <w:rFonts w:ascii="Arial" w:hAnsi="Arial" w:cs="Arial"/>
                <w:sz w:val="20"/>
              </w:rPr>
            </w:pPr>
            <w:r>
              <w:rPr>
                <w:rFonts w:ascii="Arial" w:hAnsi="Arial" w:cs="Arial"/>
                <w:sz w:val="20"/>
              </w:rPr>
              <w:t>Disadvantaged pupils as well as wider school</w:t>
            </w:r>
          </w:p>
        </w:tc>
        <w:tc>
          <w:tcPr>
            <w:tcW w:w="2617" w:type="dxa"/>
            <w:shd w:val="clear" w:color="auto" w:fill="auto"/>
            <w:tcMar>
              <w:top w:w="113" w:type="dxa"/>
              <w:bottom w:w="113" w:type="dxa"/>
            </w:tcMar>
          </w:tcPr>
          <w:p w14:paraId="7220FC2B" w14:textId="77777777" w:rsidR="00CF046D" w:rsidRPr="00F94E61" w:rsidRDefault="008F0C4B" w:rsidP="00570352">
            <w:pPr>
              <w:spacing w:after="120"/>
              <w:rPr>
                <w:rFonts w:ascii="Arial" w:hAnsi="Arial" w:cs="Arial"/>
                <w:sz w:val="20"/>
              </w:rPr>
            </w:pPr>
            <w:r>
              <w:rPr>
                <w:rFonts w:ascii="Arial" w:hAnsi="Arial" w:cs="Arial"/>
                <w:sz w:val="20"/>
              </w:rPr>
              <w:t>Will Young</w:t>
            </w:r>
          </w:p>
        </w:tc>
        <w:tc>
          <w:tcPr>
            <w:tcW w:w="2665" w:type="dxa"/>
            <w:shd w:val="clear" w:color="auto" w:fill="auto"/>
            <w:tcMar>
              <w:top w:w="113" w:type="dxa"/>
              <w:bottom w:w="113" w:type="dxa"/>
            </w:tcMar>
          </w:tcPr>
          <w:p w14:paraId="76770251" w14:textId="77777777" w:rsidR="00CF046D" w:rsidRPr="00F94E61" w:rsidRDefault="005C3B17" w:rsidP="00570352">
            <w:pPr>
              <w:spacing w:after="120"/>
              <w:rPr>
                <w:rFonts w:ascii="Arial" w:hAnsi="Arial" w:cs="Arial"/>
                <w:sz w:val="20"/>
              </w:rPr>
            </w:pPr>
            <w:r>
              <w:rPr>
                <w:rFonts w:ascii="Arial" w:hAnsi="Arial" w:cs="Arial"/>
                <w:sz w:val="20"/>
              </w:rPr>
              <w:t>All disadvantaged students have access to outdoor ed opportunities across the academic year</w:t>
            </w:r>
          </w:p>
        </w:tc>
      </w:tr>
      <w:tr w:rsidR="00CF046D" w:rsidRPr="00F94E61" w14:paraId="215A305E" w14:textId="77777777" w:rsidTr="00570352">
        <w:trPr>
          <w:cantSplit/>
        </w:trPr>
        <w:tc>
          <w:tcPr>
            <w:tcW w:w="2537" w:type="dxa"/>
            <w:shd w:val="clear" w:color="auto" w:fill="auto"/>
            <w:tcMar>
              <w:top w:w="113" w:type="dxa"/>
              <w:bottom w:w="113" w:type="dxa"/>
            </w:tcMar>
          </w:tcPr>
          <w:p w14:paraId="0A974FEE" w14:textId="77777777" w:rsidR="00CF046D" w:rsidRPr="00F94E61" w:rsidRDefault="0009425A" w:rsidP="00570352">
            <w:pPr>
              <w:spacing w:after="120"/>
              <w:rPr>
                <w:rFonts w:ascii="Arial" w:hAnsi="Arial" w:cs="Arial"/>
                <w:sz w:val="20"/>
              </w:rPr>
            </w:pPr>
            <w:r>
              <w:rPr>
                <w:rFonts w:ascii="Arial" w:hAnsi="Arial" w:cs="Arial"/>
                <w:sz w:val="20"/>
              </w:rPr>
              <w:t>Early Help Officer</w:t>
            </w:r>
          </w:p>
        </w:tc>
        <w:tc>
          <w:tcPr>
            <w:tcW w:w="2396" w:type="dxa"/>
          </w:tcPr>
          <w:p w14:paraId="69E21EA5" w14:textId="77777777" w:rsidR="00CF046D" w:rsidRDefault="00477AC7" w:rsidP="00570352">
            <w:pPr>
              <w:spacing w:after="120"/>
              <w:rPr>
                <w:rFonts w:ascii="Arial" w:hAnsi="Arial" w:cs="Arial"/>
                <w:sz w:val="20"/>
              </w:rPr>
            </w:pPr>
            <w:r>
              <w:rPr>
                <w:rFonts w:ascii="Arial" w:hAnsi="Arial" w:cs="Arial"/>
                <w:sz w:val="20"/>
              </w:rPr>
              <w:t>EEF Working with parents to support children’s learning</w:t>
            </w:r>
          </w:p>
          <w:p w14:paraId="22BEA132" w14:textId="77777777" w:rsidR="00933862" w:rsidRPr="00F94E61" w:rsidRDefault="00933862" w:rsidP="00570352">
            <w:pPr>
              <w:spacing w:after="120"/>
              <w:rPr>
                <w:rFonts w:ascii="Arial" w:hAnsi="Arial" w:cs="Arial"/>
                <w:sz w:val="20"/>
              </w:rPr>
            </w:pPr>
            <w:r>
              <w:rPr>
                <w:rFonts w:ascii="Arial" w:hAnsi="Arial" w:cs="Arial"/>
                <w:sz w:val="20"/>
              </w:rPr>
              <w:t>Higher than average percentage of pupil premium eligibility</w:t>
            </w:r>
          </w:p>
        </w:tc>
        <w:tc>
          <w:tcPr>
            <w:tcW w:w="2559" w:type="dxa"/>
            <w:shd w:val="clear" w:color="auto" w:fill="auto"/>
            <w:tcMar>
              <w:top w:w="113" w:type="dxa"/>
              <w:bottom w:w="113" w:type="dxa"/>
            </w:tcMar>
          </w:tcPr>
          <w:p w14:paraId="063ABB4E" w14:textId="77777777" w:rsidR="00CF046D" w:rsidRPr="00F94E61" w:rsidRDefault="00515DF2" w:rsidP="00570352">
            <w:pPr>
              <w:spacing w:after="120"/>
              <w:rPr>
                <w:rFonts w:ascii="Arial" w:hAnsi="Arial" w:cs="Arial"/>
                <w:sz w:val="20"/>
              </w:rPr>
            </w:pPr>
            <w:r>
              <w:rPr>
                <w:rFonts w:ascii="Arial" w:hAnsi="Arial" w:cs="Arial"/>
                <w:sz w:val="20"/>
              </w:rPr>
              <w:t>12000</w:t>
            </w:r>
          </w:p>
        </w:tc>
        <w:tc>
          <w:tcPr>
            <w:tcW w:w="2614" w:type="dxa"/>
            <w:shd w:val="clear" w:color="auto" w:fill="auto"/>
            <w:tcMar>
              <w:top w:w="113" w:type="dxa"/>
              <w:bottom w:w="113" w:type="dxa"/>
            </w:tcMar>
          </w:tcPr>
          <w:p w14:paraId="16306566" w14:textId="77777777" w:rsidR="00CF046D" w:rsidRPr="00F94E61" w:rsidRDefault="004A13CF" w:rsidP="00570352">
            <w:pPr>
              <w:spacing w:after="120"/>
              <w:rPr>
                <w:rFonts w:ascii="Arial" w:hAnsi="Arial" w:cs="Arial"/>
                <w:sz w:val="20"/>
              </w:rPr>
            </w:pPr>
            <w:r>
              <w:rPr>
                <w:rFonts w:ascii="Arial" w:hAnsi="Arial" w:cs="Arial"/>
                <w:sz w:val="20"/>
              </w:rPr>
              <w:t>Disadvantaged pupils and families</w:t>
            </w:r>
          </w:p>
        </w:tc>
        <w:tc>
          <w:tcPr>
            <w:tcW w:w="2617" w:type="dxa"/>
            <w:shd w:val="clear" w:color="auto" w:fill="auto"/>
            <w:tcMar>
              <w:top w:w="113" w:type="dxa"/>
              <w:bottom w:w="113" w:type="dxa"/>
            </w:tcMar>
          </w:tcPr>
          <w:p w14:paraId="59AEA729" w14:textId="77777777" w:rsidR="008F0C4B" w:rsidRPr="00F94E61" w:rsidRDefault="0068393B" w:rsidP="00570352">
            <w:pPr>
              <w:spacing w:after="120"/>
              <w:rPr>
                <w:rFonts w:ascii="Arial" w:hAnsi="Arial" w:cs="Arial"/>
                <w:sz w:val="20"/>
              </w:rPr>
            </w:pPr>
            <w:r>
              <w:rPr>
                <w:rFonts w:ascii="Arial" w:hAnsi="Arial" w:cs="Arial"/>
                <w:sz w:val="20"/>
              </w:rPr>
              <w:t>Stella Wood</w:t>
            </w:r>
          </w:p>
        </w:tc>
        <w:tc>
          <w:tcPr>
            <w:tcW w:w="2665" w:type="dxa"/>
            <w:shd w:val="clear" w:color="auto" w:fill="auto"/>
            <w:tcMar>
              <w:top w:w="113" w:type="dxa"/>
              <w:bottom w:w="113" w:type="dxa"/>
            </w:tcMar>
          </w:tcPr>
          <w:p w14:paraId="1C4FB713" w14:textId="77777777" w:rsidR="00CF046D" w:rsidRDefault="005C3B17" w:rsidP="00570352">
            <w:pPr>
              <w:spacing w:after="120"/>
              <w:rPr>
                <w:rFonts w:ascii="Arial" w:hAnsi="Arial" w:cs="Arial"/>
                <w:sz w:val="20"/>
              </w:rPr>
            </w:pPr>
            <w:r>
              <w:rPr>
                <w:rFonts w:ascii="Arial" w:hAnsi="Arial" w:cs="Arial"/>
                <w:sz w:val="20"/>
              </w:rPr>
              <w:t>Improvement in attendance data where concerns are identified</w:t>
            </w:r>
          </w:p>
          <w:p w14:paraId="392F0BF3" w14:textId="77777777" w:rsidR="005C3B17" w:rsidRDefault="005C3B17" w:rsidP="00570352">
            <w:pPr>
              <w:spacing w:after="120"/>
              <w:rPr>
                <w:rFonts w:ascii="Arial" w:hAnsi="Arial" w:cs="Arial"/>
                <w:sz w:val="20"/>
              </w:rPr>
            </w:pPr>
            <w:r>
              <w:rPr>
                <w:rFonts w:ascii="Arial" w:hAnsi="Arial" w:cs="Arial"/>
                <w:sz w:val="20"/>
              </w:rPr>
              <w:t>Improved parental engagement with school and learning</w:t>
            </w:r>
          </w:p>
          <w:p w14:paraId="5CEA3E05" w14:textId="77777777" w:rsidR="005C3B17" w:rsidRPr="00F94E61" w:rsidRDefault="005C3B17" w:rsidP="00570352">
            <w:pPr>
              <w:spacing w:after="120"/>
              <w:rPr>
                <w:rFonts w:ascii="Arial" w:hAnsi="Arial" w:cs="Arial"/>
                <w:sz w:val="20"/>
              </w:rPr>
            </w:pPr>
            <w:r>
              <w:rPr>
                <w:rFonts w:ascii="Arial" w:hAnsi="Arial" w:cs="Arial"/>
                <w:sz w:val="20"/>
              </w:rPr>
              <w:t>Support for disadvantaged families</w:t>
            </w:r>
          </w:p>
        </w:tc>
      </w:tr>
      <w:tr w:rsidR="0009425A" w:rsidRPr="00F94E61" w14:paraId="04C41FEA" w14:textId="77777777" w:rsidTr="00570352">
        <w:trPr>
          <w:cantSplit/>
        </w:trPr>
        <w:tc>
          <w:tcPr>
            <w:tcW w:w="2537" w:type="dxa"/>
            <w:shd w:val="clear" w:color="auto" w:fill="auto"/>
            <w:tcMar>
              <w:top w:w="113" w:type="dxa"/>
              <w:bottom w:w="113" w:type="dxa"/>
            </w:tcMar>
          </w:tcPr>
          <w:p w14:paraId="1BFE44DE" w14:textId="77777777" w:rsidR="0009425A" w:rsidRDefault="0009425A" w:rsidP="00570352">
            <w:pPr>
              <w:spacing w:after="120"/>
              <w:rPr>
                <w:rFonts w:ascii="Arial" w:hAnsi="Arial" w:cs="Arial"/>
                <w:sz w:val="20"/>
              </w:rPr>
            </w:pPr>
            <w:r>
              <w:rPr>
                <w:rFonts w:ascii="Arial" w:hAnsi="Arial" w:cs="Arial"/>
                <w:sz w:val="20"/>
              </w:rPr>
              <w:lastRenderedPageBreak/>
              <w:t>Trips and activities</w:t>
            </w:r>
            <w:r w:rsidR="00ED3250">
              <w:rPr>
                <w:rFonts w:ascii="Arial" w:hAnsi="Arial" w:cs="Arial"/>
                <w:sz w:val="20"/>
              </w:rPr>
              <w:t xml:space="preserve"> budget allocation to ensure disadvantaged pupils have equitable access to extra-curricular activities</w:t>
            </w:r>
          </w:p>
        </w:tc>
        <w:tc>
          <w:tcPr>
            <w:tcW w:w="2396" w:type="dxa"/>
          </w:tcPr>
          <w:p w14:paraId="04A4AD67" w14:textId="77777777" w:rsidR="0009425A" w:rsidRPr="00F94E61" w:rsidRDefault="00E16608" w:rsidP="00570352">
            <w:pPr>
              <w:spacing w:after="120"/>
              <w:rPr>
                <w:rFonts w:ascii="Arial" w:hAnsi="Arial" w:cs="Arial"/>
                <w:sz w:val="20"/>
              </w:rPr>
            </w:pPr>
            <w:r>
              <w:rPr>
                <w:rFonts w:ascii="Arial" w:hAnsi="Arial" w:cs="Arial"/>
                <w:sz w:val="20"/>
              </w:rPr>
              <w:t>EEF Learning Toolkit states there is a wider evidence base to indicate that outdoor learning has positive impacts on self-efficacy, motivation and teamwork, and plays an important role in part of the wider school experience.</w:t>
            </w:r>
          </w:p>
        </w:tc>
        <w:tc>
          <w:tcPr>
            <w:tcW w:w="2559" w:type="dxa"/>
            <w:shd w:val="clear" w:color="auto" w:fill="auto"/>
            <w:tcMar>
              <w:top w:w="113" w:type="dxa"/>
              <w:bottom w:w="113" w:type="dxa"/>
            </w:tcMar>
          </w:tcPr>
          <w:p w14:paraId="3C9CF719" w14:textId="77777777" w:rsidR="0009425A" w:rsidRPr="00F94E61" w:rsidRDefault="0083680F" w:rsidP="00570352">
            <w:pPr>
              <w:spacing w:after="120"/>
              <w:rPr>
                <w:rFonts w:ascii="Arial" w:hAnsi="Arial" w:cs="Arial"/>
                <w:sz w:val="20"/>
              </w:rPr>
            </w:pPr>
            <w:r>
              <w:rPr>
                <w:rFonts w:ascii="Arial" w:hAnsi="Arial" w:cs="Arial"/>
                <w:sz w:val="20"/>
              </w:rPr>
              <w:t>5</w:t>
            </w:r>
            <w:r w:rsidR="00515DF2">
              <w:rPr>
                <w:rFonts w:ascii="Arial" w:hAnsi="Arial" w:cs="Arial"/>
                <w:sz w:val="20"/>
              </w:rPr>
              <w:t>000</w:t>
            </w:r>
          </w:p>
        </w:tc>
        <w:tc>
          <w:tcPr>
            <w:tcW w:w="2614" w:type="dxa"/>
            <w:shd w:val="clear" w:color="auto" w:fill="auto"/>
            <w:tcMar>
              <w:top w:w="113" w:type="dxa"/>
              <w:bottom w:w="113" w:type="dxa"/>
            </w:tcMar>
          </w:tcPr>
          <w:p w14:paraId="6CC05A23" w14:textId="77777777" w:rsidR="0009425A" w:rsidRPr="00F94E61" w:rsidRDefault="004A13CF" w:rsidP="00570352">
            <w:pPr>
              <w:spacing w:after="120"/>
              <w:rPr>
                <w:rFonts w:ascii="Arial" w:hAnsi="Arial" w:cs="Arial"/>
                <w:sz w:val="20"/>
              </w:rPr>
            </w:pPr>
            <w:r>
              <w:rPr>
                <w:rFonts w:ascii="Arial" w:hAnsi="Arial" w:cs="Arial"/>
                <w:sz w:val="20"/>
              </w:rPr>
              <w:t>Disadvantaged pupils as well as wider school</w:t>
            </w:r>
          </w:p>
        </w:tc>
        <w:tc>
          <w:tcPr>
            <w:tcW w:w="2617" w:type="dxa"/>
            <w:shd w:val="clear" w:color="auto" w:fill="auto"/>
            <w:tcMar>
              <w:top w:w="113" w:type="dxa"/>
              <w:bottom w:w="113" w:type="dxa"/>
            </w:tcMar>
          </w:tcPr>
          <w:p w14:paraId="2A4EEBAC" w14:textId="77777777" w:rsidR="0009425A" w:rsidRPr="00F94E61" w:rsidRDefault="008F0C4B" w:rsidP="00570352">
            <w:pPr>
              <w:spacing w:after="120"/>
              <w:rPr>
                <w:rFonts w:ascii="Arial" w:hAnsi="Arial" w:cs="Arial"/>
                <w:sz w:val="20"/>
              </w:rPr>
            </w:pPr>
            <w:r>
              <w:rPr>
                <w:rFonts w:ascii="Arial" w:hAnsi="Arial" w:cs="Arial"/>
                <w:sz w:val="20"/>
              </w:rPr>
              <w:t>Will Young</w:t>
            </w:r>
          </w:p>
        </w:tc>
        <w:tc>
          <w:tcPr>
            <w:tcW w:w="2665" w:type="dxa"/>
            <w:shd w:val="clear" w:color="auto" w:fill="auto"/>
            <w:tcMar>
              <w:top w:w="113" w:type="dxa"/>
              <w:bottom w:w="113" w:type="dxa"/>
            </w:tcMar>
          </w:tcPr>
          <w:p w14:paraId="30B4022C" w14:textId="77777777" w:rsidR="0009425A" w:rsidRPr="00F94E61" w:rsidRDefault="004A13CF" w:rsidP="00570352">
            <w:pPr>
              <w:spacing w:after="120"/>
              <w:rPr>
                <w:rFonts w:ascii="Arial" w:hAnsi="Arial" w:cs="Arial"/>
                <w:sz w:val="20"/>
              </w:rPr>
            </w:pPr>
            <w:r>
              <w:rPr>
                <w:rFonts w:ascii="Arial" w:hAnsi="Arial" w:cs="Arial"/>
                <w:sz w:val="20"/>
              </w:rPr>
              <w:t>All disadvantaged students have access to outdoor ed opportunities across the academic year</w:t>
            </w:r>
          </w:p>
        </w:tc>
      </w:tr>
    </w:tbl>
    <w:p w14:paraId="730903E2" w14:textId="77777777" w:rsidR="00CF046D" w:rsidRPr="00F94E61" w:rsidRDefault="00CF046D" w:rsidP="00F94E61">
      <w:pPr>
        <w:spacing w:after="120"/>
        <w:rPr>
          <w:rFonts w:ascii="Arial" w:hAnsi="Arial" w:cs="Arial"/>
          <w:sz w:val="20"/>
        </w:rPr>
      </w:pPr>
    </w:p>
    <w:p w14:paraId="3BE6F7ED" w14:textId="77777777" w:rsidR="00F94E61" w:rsidRPr="00F94E61" w:rsidRDefault="00F94E61" w:rsidP="00F94E61">
      <w:pPr>
        <w:spacing w:after="120"/>
        <w:rPr>
          <w:rFonts w:ascii="Arial" w:hAnsi="Arial" w:cs="Arial"/>
          <w:sz w:val="20"/>
        </w:rPr>
      </w:pPr>
    </w:p>
    <w:p w14:paraId="26C21EA2" w14:textId="77777777" w:rsidR="00F94E61" w:rsidRPr="00F94E61" w:rsidRDefault="00F94E61" w:rsidP="00F94E61">
      <w:pPr>
        <w:spacing w:after="120"/>
      </w:pPr>
    </w:p>
    <w:p w14:paraId="001DF709" w14:textId="77777777" w:rsidR="00F94E61" w:rsidRPr="00F94E61" w:rsidRDefault="00F94E61" w:rsidP="00F94E61">
      <w:pPr>
        <w:spacing w:after="120"/>
      </w:pPr>
    </w:p>
    <w:p w14:paraId="189AC101" w14:textId="77777777" w:rsidR="00F94E61" w:rsidRPr="00F94E61" w:rsidRDefault="00F94E61" w:rsidP="00F94E61">
      <w:pPr>
        <w:spacing w:after="120"/>
      </w:pPr>
    </w:p>
    <w:p w14:paraId="03EB07B4" w14:textId="77777777" w:rsidR="00F94E61" w:rsidRPr="00590F46" w:rsidRDefault="00F94E61">
      <w:pPr>
        <w:rPr>
          <w:rFonts w:ascii="L2L-Sassoon Primary" w:hAnsi="L2L-Sassoon Primary"/>
        </w:rPr>
      </w:pPr>
    </w:p>
    <w:sectPr w:rsidR="00F94E61" w:rsidRPr="00590F46" w:rsidSect="00F94E61">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2L-Sassoon Primary">
    <w:panose1 w:val="00000000000000000000"/>
    <w:charset w:val="00"/>
    <w:family w:val="modern"/>
    <w:notTrueType/>
    <w:pitch w:val="variable"/>
    <w:sig w:usb0="A000002F" w:usb1="40000048"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77860"/>
    <w:multiLevelType w:val="hybridMultilevel"/>
    <w:tmpl w:val="E5F8F9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3C6963"/>
    <w:multiLevelType w:val="hybridMultilevel"/>
    <w:tmpl w:val="E5F8F9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804E7B"/>
    <w:multiLevelType w:val="hybridMultilevel"/>
    <w:tmpl w:val="FDFAF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61"/>
    <w:rsid w:val="00006C83"/>
    <w:rsid w:val="00010102"/>
    <w:rsid w:val="00011554"/>
    <w:rsid w:val="0003667F"/>
    <w:rsid w:val="0005705D"/>
    <w:rsid w:val="000671B9"/>
    <w:rsid w:val="0009425A"/>
    <w:rsid w:val="000A77F2"/>
    <w:rsid w:val="000C203A"/>
    <w:rsid w:val="000C67BF"/>
    <w:rsid w:val="000D43EB"/>
    <w:rsid w:val="000E2AC2"/>
    <w:rsid w:val="001148D0"/>
    <w:rsid w:val="00155E59"/>
    <w:rsid w:val="001B0FCD"/>
    <w:rsid w:val="001E36FE"/>
    <w:rsid w:val="001E799C"/>
    <w:rsid w:val="002033D0"/>
    <w:rsid w:val="00223CCD"/>
    <w:rsid w:val="00244981"/>
    <w:rsid w:val="002C3F64"/>
    <w:rsid w:val="002E1476"/>
    <w:rsid w:val="002F0E36"/>
    <w:rsid w:val="00317A88"/>
    <w:rsid w:val="00325FFC"/>
    <w:rsid w:val="00326024"/>
    <w:rsid w:val="003346B5"/>
    <w:rsid w:val="00356050"/>
    <w:rsid w:val="003619E9"/>
    <w:rsid w:val="0039288C"/>
    <w:rsid w:val="0039732F"/>
    <w:rsid w:val="003A20F8"/>
    <w:rsid w:val="003B02BB"/>
    <w:rsid w:val="003C4D7A"/>
    <w:rsid w:val="003E684E"/>
    <w:rsid w:val="003F1549"/>
    <w:rsid w:val="004452C2"/>
    <w:rsid w:val="004536D1"/>
    <w:rsid w:val="00477AC7"/>
    <w:rsid w:val="00487C49"/>
    <w:rsid w:val="00493538"/>
    <w:rsid w:val="004A13CF"/>
    <w:rsid w:val="004F552C"/>
    <w:rsid w:val="00501855"/>
    <w:rsid w:val="00511664"/>
    <w:rsid w:val="00512AE2"/>
    <w:rsid w:val="00515DF2"/>
    <w:rsid w:val="00533FFF"/>
    <w:rsid w:val="00550B37"/>
    <w:rsid w:val="00563B81"/>
    <w:rsid w:val="00567AD0"/>
    <w:rsid w:val="00570352"/>
    <w:rsid w:val="005746AE"/>
    <w:rsid w:val="00584191"/>
    <w:rsid w:val="00590F46"/>
    <w:rsid w:val="005A3013"/>
    <w:rsid w:val="005C3B17"/>
    <w:rsid w:val="00607DB4"/>
    <w:rsid w:val="0063332B"/>
    <w:rsid w:val="00633CF6"/>
    <w:rsid w:val="00662001"/>
    <w:rsid w:val="00665976"/>
    <w:rsid w:val="0068393B"/>
    <w:rsid w:val="006A0E2B"/>
    <w:rsid w:val="006A799C"/>
    <w:rsid w:val="006C420F"/>
    <w:rsid w:val="006E0B6F"/>
    <w:rsid w:val="007234C9"/>
    <w:rsid w:val="00781734"/>
    <w:rsid w:val="007B2287"/>
    <w:rsid w:val="007D11FC"/>
    <w:rsid w:val="007F523D"/>
    <w:rsid w:val="00800522"/>
    <w:rsid w:val="00801959"/>
    <w:rsid w:val="00824794"/>
    <w:rsid w:val="00827261"/>
    <w:rsid w:val="0083680F"/>
    <w:rsid w:val="008442BD"/>
    <w:rsid w:val="0087194A"/>
    <w:rsid w:val="0088517B"/>
    <w:rsid w:val="0089255D"/>
    <w:rsid w:val="008A0075"/>
    <w:rsid w:val="008E6D38"/>
    <w:rsid w:val="008F0C4B"/>
    <w:rsid w:val="00915BFE"/>
    <w:rsid w:val="00921B91"/>
    <w:rsid w:val="00922CFF"/>
    <w:rsid w:val="00925ECD"/>
    <w:rsid w:val="00933862"/>
    <w:rsid w:val="009736FA"/>
    <w:rsid w:val="009A73D4"/>
    <w:rsid w:val="009B2117"/>
    <w:rsid w:val="009D6951"/>
    <w:rsid w:val="00A0004A"/>
    <w:rsid w:val="00A26218"/>
    <w:rsid w:val="00A867AC"/>
    <w:rsid w:val="00A91CE4"/>
    <w:rsid w:val="00AD0820"/>
    <w:rsid w:val="00AD5499"/>
    <w:rsid w:val="00B01450"/>
    <w:rsid w:val="00B34D78"/>
    <w:rsid w:val="00B40964"/>
    <w:rsid w:val="00B41CF8"/>
    <w:rsid w:val="00BF0FA6"/>
    <w:rsid w:val="00C6125D"/>
    <w:rsid w:val="00C70A44"/>
    <w:rsid w:val="00C82300"/>
    <w:rsid w:val="00CB5B33"/>
    <w:rsid w:val="00CF046D"/>
    <w:rsid w:val="00D0440D"/>
    <w:rsid w:val="00D131E4"/>
    <w:rsid w:val="00D24726"/>
    <w:rsid w:val="00D27EBB"/>
    <w:rsid w:val="00D30EFD"/>
    <w:rsid w:val="00D73234"/>
    <w:rsid w:val="00D95C7E"/>
    <w:rsid w:val="00DB2D1C"/>
    <w:rsid w:val="00DE0869"/>
    <w:rsid w:val="00DF7105"/>
    <w:rsid w:val="00E07570"/>
    <w:rsid w:val="00E16608"/>
    <w:rsid w:val="00E35E50"/>
    <w:rsid w:val="00E60115"/>
    <w:rsid w:val="00EB0E50"/>
    <w:rsid w:val="00EC2188"/>
    <w:rsid w:val="00ED3250"/>
    <w:rsid w:val="00ED3C52"/>
    <w:rsid w:val="00F94E61"/>
    <w:rsid w:val="00FB6713"/>
    <w:rsid w:val="00FD1620"/>
    <w:rsid w:val="00FE1BE1"/>
    <w:rsid w:val="00FF5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1AA4"/>
  <w15:chartTrackingRefBased/>
  <w15:docId w15:val="{AD3A34CF-1491-4D13-9BF2-6705A8EB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34C9"/>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F94E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F94E61"/>
    <w:pPr>
      <w:spacing w:after="120"/>
    </w:pPr>
  </w:style>
  <w:style w:type="paragraph" w:customStyle="1" w:styleId="4Heading1">
    <w:name w:val="4 Heading 1"/>
    <w:basedOn w:val="Heading1"/>
    <w:next w:val="Normal"/>
    <w:qFormat/>
    <w:rsid w:val="00F94E61"/>
    <w:pPr>
      <w:keepNext w:val="0"/>
      <w:keepLines w:val="0"/>
      <w:spacing w:before="0" w:after="480"/>
    </w:pPr>
    <w:rPr>
      <w:rFonts w:ascii="Cambria" w:eastAsia="Calibri" w:hAnsi="Cambria" w:cs="Arial"/>
      <w:b/>
      <w:color w:val="FF1F64"/>
      <w:sz w:val="60"/>
      <w:szCs w:val="36"/>
      <w:lang w:val="en-GB"/>
    </w:rPr>
  </w:style>
  <w:style w:type="character" w:customStyle="1" w:styleId="1bodycopyChar">
    <w:name w:val="1 body copy Char"/>
    <w:link w:val="1bodycopy"/>
    <w:rsid w:val="00F94E61"/>
    <w:rPr>
      <w:rFonts w:ascii="Cambria" w:eastAsia="MS Mincho" w:hAnsi="Cambria" w:cs="Times New Roman"/>
      <w:sz w:val="24"/>
      <w:szCs w:val="24"/>
      <w:lang w:val="en-US"/>
    </w:rPr>
  </w:style>
  <w:style w:type="table" w:styleId="TableGrid">
    <w:name w:val="Table Grid"/>
    <w:basedOn w:val="TableNormal"/>
    <w:uiPriority w:val="39"/>
    <w:rsid w:val="00F94E61"/>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4E61"/>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94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1"/>
    <w:rPr>
      <w:rFonts w:ascii="Segoe UI" w:eastAsia="MS Mincho" w:hAnsi="Segoe UI" w:cs="Segoe UI"/>
      <w:sz w:val="18"/>
      <w:szCs w:val="18"/>
      <w:lang w:val="en-US"/>
    </w:rPr>
  </w:style>
  <w:style w:type="character" w:styleId="Hyperlink">
    <w:name w:val="Hyperlink"/>
    <w:rsid w:val="008A0075"/>
    <w:rPr>
      <w:rFonts w:ascii="Arial" w:hAnsi="Arial"/>
      <w:color w:val="0000FF"/>
      <w:sz w:val="24"/>
      <w:u w:val="single"/>
    </w:rPr>
  </w:style>
  <w:style w:type="paragraph" w:styleId="ListParagraph">
    <w:name w:val="List Paragraph"/>
    <w:basedOn w:val="Normal"/>
    <w:uiPriority w:val="34"/>
    <w:qFormat/>
    <w:rsid w:val="00BF0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10</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Ellen Tinkham School</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Preece</dc:creator>
  <cp:keywords/>
  <dc:description/>
  <cp:lastModifiedBy>Kate Preece</cp:lastModifiedBy>
  <cp:revision>31</cp:revision>
  <cp:lastPrinted>2022-11-16T09:56:00Z</cp:lastPrinted>
  <dcterms:created xsi:type="dcterms:W3CDTF">2022-11-18T13:28:00Z</dcterms:created>
  <dcterms:modified xsi:type="dcterms:W3CDTF">2022-12-12T14:05:00Z</dcterms:modified>
</cp:coreProperties>
</file>